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36"/>
        </w:rPr>
        <w:drawing>
          <wp:inline xmlns:a="http://schemas.openxmlformats.org/drawingml/2006/main" xmlns:pic="http://schemas.openxmlformats.org/drawingml/2006/picture">
            <wp:extent cx="254000" cy="25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4000" cy="254000"/>
                    </a:xfrm>
                    <a:prstGeom prst="rect"/>
                  </pic:spPr>
                </pic:pic>
              </a:graphicData>
            </a:graphic>
          </wp:inline>
        </w:drawing>
      </w:r>
      <w:r>
        <w:rPr>
          <w:sz w:val="36"/>
        </w:rPr>
        <w:t xml:space="preserve">  </w:t>
      </w:r>
      <w:r>
        <w:rPr>
          <w:sz w:val="36"/>
        </w:rPr>
        <w:t>SPERT</w:t>
      </w:r>
      <w:r>
        <w:rPr>
          <w:sz w:val="36"/>
          <w:vertAlign w:val="superscript"/>
        </w:rPr>
        <w:t>®</w:t>
      </w:r>
      <w:r>
        <w:rPr>
          <w:sz w:val="36"/>
        </w:rPr>
        <w:t xml:space="preserve"> Suite Architecture Overview</w:t>
      </w:r>
    </w:p>
    <w:p>
      <w:pPr>
        <w:spacing w:after="20"/>
      </w:pPr>
      <w:r>
        <w:rPr>
          <w:b/>
          <w:color w:val="1D4ED8"/>
          <w:sz w:val="18"/>
        </w:rPr>
        <w:t xml:space="preserve">Approval Kit  ·  </w:t>
      </w:r>
      <w:r>
        <w:rPr>
          <w:sz w:val="18"/>
        </w:rPr>
        <w:t xml:space="preserve">Components, data flows and trust boundaries for architecture, security and privacy reviewers · </w:t>
      </w:r>
      <w:hyperlink r:id="rId10">
        <w:r>
          <w:rPr>
            <w:color w:val="1d4ed8"/>
            <w:sz w:val="18"/>
            <w:u w:val="single"/>
          </w:rPr>
          <w:t xml:space="preserve">spertsuite.com/approval-kit</w:t>
        </w:r>
      </w:hyperlink>
    </w:p>
    <w:p>
      <w:pPr>
        <w:pBdr>
          <w:bottom w:val="single" w:sz="12" w:space="4" w:color="1d4ed8"/>
        </w:pBdr>
      </w:pPr>
      <w:r>
        <w:rPr>
          <w:color w:val="475569"/>
          <w:sz w:val="16"/>
        </w:rPr>
        <w:t>SPERT</w:t>
      </w:r>
      <w:r>
        <w:rPr>
          <w:color w:val="475569"/>
          <w:sz w:val="16"/>
          <w:vertAlign w:val="superscript"/>
        </w:rPr>
        <w:t>®</w:t>
      </w:r>
      <w:r>
        <w:rPr>
          <w:color w:val="475569"/>
          <w:sz w:val="16"/>
        </w:rPr>
        <w:t xml:space="preserve"> Suite Approval Kit v1.0.0 (Release) · Content reviewed 2026-10-25 · Built 2026-10-26</w:t>
      </w:r>
    </w:p>
    <w:p>
      <w:r>
        <w:rPr>
          <w:b/>
        </w:rPr>
        <w:t>For:</w:t>
      </w:r>
      <w:r>
        <w:rPr/>
        <w:t xml:space="preserve"> </w:t>
      </w:r>
      <w:r>
        <w:rPr>
          <w:highlight w:val="yellow"/>
        </w:rPr>
        <w:t>[REVIEWING TEAM]</w:t>
      </w:r>
      <w:r>
        <w:rPr/>
        <w:t xml:space="preserve"> at </w:t>
      </w:r>
      <w:r>
        <w:rPr>
          <w:highlight w:val="yellow"/>
        </w:rPr>
        <w:t>[ORGANIZATION]</w:t>
      </w:r>
      <w:r>
        <w:rPr/>
        <w:t xml:space="preserve"> (architecture, information security, privacy)</w:t>
      </w:r>
      <w:r>
        <w:br/>
      </w:r>
      <w:r>
        <w:rPr>
          <w:b/>
        </w:rPr>
        <w:t>Prepared by:</w:t>
      </w:r>
      <w:r>
        <w:rPr/>
        <w:t xml:space="preserve"> </w:t>
      </w:r>
      <w:r>
        <w:rPr>
          <w:highlight w:val="yellow"/>
        </w:rPr>
        <w:t>[PROJECT MANAGER NAME]</w:t>
      </w:r>
      <w:r>
        <w:rPr/>
        <w:t xml:space="preserve">, requesting approval to use </w:t>
      </w:r>
      <w:r>
        <w:rPr>
          <w:highlight w:val="yellow"/>
        </w:rPr>
        <w:t>[APPS REQUESTED]</w:t>
      </w:r>
      <w:r>
        <w:br/>
      </w:r>
      <w:r>
        <w:rPr>
          <w:b/>
        </w:rPr>
        <w:t>Reviewed against:</w:t>
      </w:r>
      <w:r>
        <w:rPr/>
        <w:t xml:space="preserve"> the app versions in section 1; shared backend in the </w:t>
      </w:r>
      <w:hyperlink r:id="rId11">
        <w:r>
          <w:rPr>
            <w:color w:val="1d4ed8"/>
            <w:u w:val="single"/>
          </w:rPr>
          <w:t xml:space="preserve">spert-landing</w:t>
        </w:r>
      </w:hyperlink>
      <w:r>
        <w:rPr/>
        <w:t xml:space="preserve"> repository v2.7.2 (commit </w:t>
      </w:r>
      <w:r>
        <w:rPr>
          <w:rFonts w:ascii="Consolas" w:hAnsi="Consolas"/>
          <w:sz w:val="18"/>
        </w:rPr>
        <w:t>52b7fbf</w:t>
      </w:r>
      <w:r>
        <w:rPr/>
        <w:t xml:space="preserve">, 2026-10-25; Connect AI server version 1.14.1, confirmed live 2026-10-25); </w:t>
      </w:r>
      <w:hyperlink r:id="rId12">
        <w:r>
          <w:rPr>
            <w:color w:val="1d4ed8"/>
            <w:u w:val="single"/>
          </w:rPr>
          <w:t xml:space="preserve">Terms of Service</w:t>
        </w:r>
      </w:hyperlink>
      <w:r>
        <w:rPr/>
        <w:t xml:space="preserve"> v1.4 and </w:t>
      </w:r>
      <w:hyperlink r:id="rId13">
        <w:r>
          <w:rPr>
            <w:color w:val="1d4ed8"/>
            <w:u w:val="single"/>
          </w:rPr>
          <w:t xml:space="preserve">Privacy Policy</w:t>
        </w:r>
      </w:hyperlink>
      <w:r>
        <w:rPr/>
        <w:t xml:space="preserve"> v1.4 (both effective 2026-10-26); </w:t>
      </w:r>
      <w:hyperlink r:id="rId14">
        <w:r>
          <w:rPr>
            <w:color w:val="1d4ed8"/>
            <w:u w:val="single"/>
          </w:rPr>
          <w:t xml:space="preserve">AI Privacy Notice</w:t>
        </w:r>
      </w:hyperlink>
      <w:r>
        <w:rPr/>
        <w:t xml:space="preserve"> v2.3 (effective 2026-10-26); </w:t>
      </w:r>
      <w:hyperlink r:id="rId15">
        <w:r>
          <w:rPr>
            <w:color w:val="1d4ed8"/>
            <w:u w:val="single"/>
          </w:rPr>
          <w:t xml:space="preserve">AI Connectivity Consent Notice</w:t>
        </w:r>
      </w:hyperlink>
      <w:r>
        <w:rPr/>
        <w:t xml:space="preserve"> v2.2 (effective 2026-10-26). </w:t>
      </w:r>
      <w:r>
        <w:rPr>
          <w:b/>
        </w:rPr>
        <w:t>Review date:</w:t>
      </w:r>
      <w:r>
        <w:rPr/>
        <w:t xml:space="preserve"> 2026-10-25.</w:t>
      </w:r>
    </w:p>
    <w:p>
      <w:r>
        <w:rPr>
          <w:i/>
        </w:rPr>
        <w:t>This document supports an approval process. It is not legal, compliance or security advice, and it makes no commitments beyond those in the published legal documents.</w:t>
      </w:r>
    </w:p>
    <w:p>
      <w:pPr>
        <w:pStyle w:val="Heading2"/>
      </w:pPr>
      <w:r>
        <w:rPr/>
        <w:t>The short version</w:t>
      </w:r>
    </w:p>
    <w:p>
      <w:r>
        <w:rPr/>
        <w:t>SPERT</w:t>
      </w:r>
      <w:r>
        <w:rPr>
          <w:vertAlign w:val="superscript"/>
        </w:rPr>
        <w:t>®</w:t>
      </w:r>
      <w:r>
        <w:rPr/>
        <w:t xml:space="preserve"> Suite is six browser-based planning apps. Each one is a web page that runs entirely in the user's browser: the planning calculations happen on the user's device, and by default every project is saved in that browser's own storage. No account is needed, and no project data goes to the operator or to anyone else.</w:t>
      </w:r>
    </w:p>
    <w:p>
      <w:r>
        <w:rPr/>
        <w:t>Two optional features add cloud services, and each can be approved or declined on its own. The numbers are labels, not a ladder: tiers 2 and 3 are separate decisions.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907"/>
        <w:gridCol w:w="2755"/>
        <w:gridCol w:w="3371"/>
        <w:gridCol w:w="2335"/>
      </w:tblGrid>
      <w:tr>
        <w:trPr>
          <w:cantSplit/>
          <w:tblHeader w:val="true"/>
        </w:trPr>
        <w:tc>
          <w:tcPr>
            <w:tcW w:type="dxa" w:w="1907"/>
            <w:shd w:val="clear" w:color="auto" w:fill="1d4ed8"/>
          </w:tcPr>
          <w:p>
            <w:pPr>
              <w:spacing w:after="0"/>
            </w:pPr>
            <w:r>
              <w:rPr>
                <w:b/>
                <w:color w:val="FFFFFF"/>
                <w:sz w:val="18"/>
              </w:rPr>
              <w:t>Tier</w:t>
            </w:r>
          </w:p>
        </w:tc>
        <w:tc>
          <w:tcPr>
            <w:tcW w:type="dxa" w:w="2755"/>
            <w:shd w:val="clear" w:color="auto" w:fill="1d4ed8"/>
          </w:tcPr>
          <w:p>
            <w:pPr>
              <w:spacing w:after="0"/>
            </w:pPr>
            <w:r>
              <w:rPr>
                <w:b/>
                <w:color w:val="FFFFFF"/>
                <w:sz w:val="18"/>
              </w:rPr>
              <w:t>On by default?</w:t>
            </w:r>
          </w:p>
        </w:tc>
        <w:tc>
          <w:tcPr>
            <w:tcW w:type="dxa" w:w="3371"/>
            <w:shd w:val="clear" w:color="auto" w:fill="1d4ed8"/>
          </w:tcPr>
          <w:p>
            <w:pPr>
              <w:spacing w:after="0"/>
            </w:pPr>
            <w:r>
              <w:rPr>
                <w:b/>
                <w:color w:val="FFFFFF"/>
                <w:sz w:val="18"/>
              </w:rPr>
              <w:t>What leaves the user's device</w:t>
            </w:r>
          </w:p>
        </w:tc>
        <w:tc>
          <w:tcPr>
            <w:tcW w:type="dxa" w:w="2335"/>
            <w:shd w:val="clear" w:color="auto" w:fill="1d4ed8"/>
          </w:tcPr>
          <w:p>
            <w:pPr>
              <w:spacing w:after="0"/>
            </w:pPr>
            <w:r>
              <w:rPr>
                <w:b/>
                <w:color w:val="FFFFFF"/>
                <w:sz w:val="18"/>
              </w:rPr>
              <w:t>Suggested approval scope</w:t>
            </w:r>
          </w:p>
        </w:tc>
      </w:tr>
      <w:tr>
        <w:trPr>
          <w:cantSplit/>
        </w:trPr>
        <w:tc>
          <w:tcPr>
            <w:tcW w:type="dxa" w:w="1907"/>
          </w:tcPr>
          <w:p>
            <w:pPr>
              <w:spacing w:after="0"/>
            </w:pPr>
            <w:r>
              <w:rPr>
                <w:b/>
                <w:sz w:val="18"/>
              </w:rPr>
              <w:t>1. Local-only use</w:t>
            </w:r>
          </w:p>
        </w:tc>
        <w:tc>
          <w:tcPr>
            <w:tcW w:type="dxa" w:w="2755"/>
          </w:tcPr>
          <w:p>
            <w:pPr>
              <w:spacing w:after="0"/>
            </w:pPr>
            <w:r>
              <w:rPr>
                <w:sz w:val="18"/>
              </w:rPr>
              <w:t>Yes</w:t>
            </w:r>
          </w:p>
        </w:tc>
        <w:tc>
          <w:tcPr>
            <w:tcW w:type="dxa" w:w="3371"/>
          </w:tcPr>
          <w:p>
            <w:pPr>
              <w:spacing w:after="0"/>
            </w:pPr>
            <w:r>
              <w:rPr>
                <w:sz w:val="18"/>
              </w:rPr>
              <w:t>Page requests to the web host (IP address, browser type). SPERT</w:t>
            </w:r>
            <w:r>
              <w:rPr>
                <w:sz w:val="18"/>
                <w:vertAlign w:val="superscript"/>
              </w:rPr>
              <w:t>®</w:t>
            </w:r>
            <w:r>
              <w:rPr>
                <w:sz w:val="18"/>
              </w:rPr>
              <w:t xml:space="preserve"> Scheduler's optional holiday lookup sends a country code and year. No project data.</w:t>
            </w:r>
          </w:p>
        </w:tc>
        <w:tc>
          <w:tcPr>
            <w:tcW w:type="dxa" w:w="2335"/>
          </w:tcPr>
          <w:p>
            <w:pPr>
              <w:spacing w:after="0"/>
            </w:pPr>
            <w:r>
              <w:rPr>
                <w:sz w:val="18"/>
                <w:highlight w:val="yellow"/>
              </w:rPr>
              <w:t>[APPROVE / DECLINE]</w:t>
            </w:r>
          </w:p>
        </w:tc>
      </w:tr>
      <w:tr>
        <w:trPr>
          <w:cantSplit/>
        </w:trPr>
        <w:tc>
          <w:tcPr>
            <w:tcW w:type="dxa" w:w="1907"/>
            <w:shd w:val="clear" w:color="auto" w:fill="f1f5f9"/>
          </w:tcPr>
          <w:p>
            <w:pPr>
              <w:spacing w:after="0"/>
            </w:pPr>
            <w:r>
              <w:rPr>
                <w:b/>
                <w:sz w:val="18"/>
              </w:rPr>
              <w:t>2. Cloud storage and sharing</w:t>
            </w:r>
          </w:p>
        </w:tc>
        <w:tc>
          <w:tcPr>
            <w:tcW w:type="dxa" w:w="2755"/>
            <w:shd w:val="clear" w:color="auto" w:fill="f1f5f9"/>
          </w:tcPr>
          <w:p>
            <w:pPr>
              <w:spacing w:after="0"/>
            </w:pPr>
            <w:r>
              <w:rPr>
                <w:sz w:val="18"/>
              </w:rPr>
              <w:t>No; the user signs in and accepts the Terms</w:t>
            </w:r>
          </w:p>
        </w:tc>
        <w:tc>
          <w:tcPr>
            <w:tcW w:type="dxa" w:w="3371"/>
            <w:shd w:val="clear" w:color="auto" w:fill="f1f5f9"/>
          </w:tcPr>
          <w:p>
            <w:pPr>
              <w:spacing w:after="0"/>
            </w:pPr>
            <w:r>
              <w:rPr>
                <w:sz w:val="18"/>
              </w:rPr>
              <w:t>Name, email and the projects the user saves, stored in Google Cloud in the United States</w:t>
            </w:r>
          </w:p>
        </w:tc>
        <w:tc>
          <w:tcPr>
            <w:tcW w:type="dxa" w:w="2335"/>
            <w:shd w:val="clear" w:color="auto" w:fill="f1f5f9"/>
          </w:tcPr>
          <w:p>
            <w:pPr>
              <w:spacing w:after="0"/>
            </w:pPr>
            <w:r>
              <w:rPr>
                <w:sz w:val="18"/>
                <w:highlight w:val="yellow"/>
              </w:rPr>
              <w:t>[APPROVE / DECLINE / NOT IN SCOPE]</w:t>
            </w:r>
          </w:p>
        </w:tc>
      </w:tr>
      <w:tr>
        <w:trPr>
          <w:cantSplit/>
        </w:trPr>
        <w:tc>
          <w:tcPr>
            <w:tcW w:type="dxa" w:w="1907"/>
          </w:tcPr>
          <w:p>
            <w:pPr>
              <w:spacing w:after="0"/>
            </w:pPr>
            <w:r>
              <w:rPr>
                <w:b/>
                <w:sz w:val="18"/>
              </w:rPr>
              <w:t>3. Connect AI</w:t>
            </w:r>
          </w:p>
        </w:tc>
        <w:tc>
          <w:tcPr>
            <w:tcW w:type="dxa" w:w="2755"/>
          </w:tcPr>
          <w:p>
            <w:pPr>
              <w:spacing w:after="0"/>
            </w:pPr>
            <w:r>
              <w:rPr>
                <w:sz w:val="18"/>
              </w:rPr>
              <w:t>No; started by the user each session, in three apps only</w:t>
            </w:r>
          </w:p>
        </w:tc>
        <w:tc>
          <w:tcPr>
            <w:tcW w:type="dxa" w:w="3371"/>
          </w:tcPr>
          <w:p>
            <w:pPr>
              <w:spacing w:after="0"/>
            </w:pPr>
            <w:r>
              <w:rPr>
                <w:sz w:val="18"/>
              </w:rPr>
              <w:t>AI edits pass through a relay in Google Cloud. With Read Mode on, a copy of the open project goes to the relay and to the user's chosen AI provider.</w:t>
            </w:r>
          </w:p>
        </w:tc>
        <w:tc>
          <w:tcPr>
            <w:tcW w:type="dxa" w:w="2335"/>
          </w:tcPr>
          <w:p>
            <w:pPr>
              <w:spacing w:after="0"/>
            </w:pPr>
            <w:r>
              <w:rPr>
                <w:sz w:val="18"/>
                <w:highlight w:val="yellow"/>
              </w:rPr>
              <w:t>[APPROVE / DECLINE / NOT IN SCOPE]</w:t>
            </w:r>
          </w:p>
        </w:tc>
      </w:tr>
    </w:tbl>
    <w:p>
      <w:pPr>
        <w:spacing w:after="40"/>
      </w:pPr>
    </w:p>
    <w:p>
      <w:r>
        <w:rPr>
          <w:highlight w:val="yellow"/>
        </w:rPr>
        <w:t>[ORGANIZATION]</w:t>
      </w:r>
      <w:r>
        <w:rPr/>
        <w:t xml:space="preserve"> can approve tier 1 alone. Figure 1 (section 1) shows every component and which tier uses it; sections 2 to 4 show the data flows for each tier, with trust boundaries drawn as dashed regions.</w:t>
      </w:r>
    </w:p>
    <w:p>
      <w:pPr>
        <w:pStyle w:val="Heading2"/>
      </w:pPr>
      <w:r>
        <w:rPr/>
        <w:t>1. The suite in brief</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808"/>
        <w:gridCol w:w="3057"/>
        <w:gridCol w:w="2995"/>
        <w:gridCol w:w="1318"/>
        <w:gridCol w:w="1190"/>
      </w:tblGrid>
      <w:tr>
        <w:trPr>
          <w:cantSplit/>
          <w:tblHeader w:val="true"/>
        </w:trPr>
        <w:tc>
          <w:tcPr>
            <w:tcW w:type="dxa" w:w="1808"/>
            <w:shd w:val="clear" w:color="auto" w:fill="1d4ed8"/>
          </w:tcPr>
          <w:p>
            <w:pPr>
              <w:spacing w:after="0"/>
            </w:pPr>
            <w:r>
              <w:rPr>
                <w:b/>
                <w:color w:val="FFFFFF"/>
                <w:sz w:val="18"/>
              </w:rPr>
              <w:t>App</w:t>
            </w:r>
          </w:p>
        </w:tc>
        <w:tc>
          <w:tcPr>
            <w:tcW w:type="dxa" w:w="3057"/>
            <w:shd w:val="clear" w:color="auto" w:fill="1d4ed8"/>
          </w:tcPr>
          <w:p>
            <w:pPr>
              <w:spacing w:after="0"/>
            </w:pPr>
            <w:r>
              <w:rPr>
                <w:b/>
                <w:color w:val="FFFFFF"/>
                <w:sz w:val="18"/>
              </w:rPr>
              <w:t>What it is for</w:t>
            </w:r>
          </w:p>
        </w:tc>
        <w:tc>
          <w:tcPr>
            <w:tcW w:type="dxa" w:w="2995"/>
            <w:shd w:val="clear" w:color="auto" w:fill="1d4ed8"/>
          </w:tcPr>
          <w:p>
            <w:pPr>
              <w:spacing w:after="0"/>
            </w:pPr>
            <w:r>
              <w:rPr>
                <w:b/>
                <w:color w:val="FFFFFF"/>
                <w:sz w:val="18"/>
              </w:rPr>
              <w:t>Address</w:t>
            </w:r>
          </w:p>
        </w:tc>
        <w:tc>
          <w:tcPr>
            <w:tcW w:type="dxa" w:w="1318"/>
            <w:shd w:val="clear" w:color="auto" w:fill="1d4ed8"/>
          </w:tcPr>
          <w:p>
            <w:pPr>
              <w:spacing w:after="0"/>
            </w:pPr>
            <w:r>
              <w:rPr>
                <w:b/>
                <w:color w:val="FFFFFF"/>
                <w:sz w:val="18"/>
              </w:rPr>
              <w:t>Version reviewed</w:t>
            </w:r>
          </w:p>
        </w:tc>
        <w:tc>
          <w:tcPr>
            <w:tcW w:type="dxa" w:w="1190"/>
            <w:shd w:val="clear" w:color="auto" w:fill="1d4ed8"/>
          </w:tcPr>
          <w:p>
            <w:pPr>
              <w:spacing w:after="0"/>
            </w:pPr>
            <w:r>
              <w:rPr>
                <w:b/>
                <w:color w:val="FFFFFF"/>
                <w:sz w:val="18"/>
              </w:rPr>
              <w:t>Connect AI</w:t>
            </w:r>
          </w:p>
        </w:tc>
      </w:tr>
      <w:tr>
        <w:trPr>
          <w:cantSplit/>
        </w:trPr>
        <w:tc>
          <w:tcPr>
            <w:tcW w:type="dxa" w:w="1808"/>
          </w:tcPr>
          <w:p>
            <w:pPr>
              <w:spacing w:after="0"/>
            </w:pPr>
            <w:r>
              <w:rPr>
                <w:sz w:val="18"/>
              </w:rPr>
              <w:t>SPERT</w:t>
            </w:r>
            <w:r>
              <w:rPr>
                <w:sz w:val="18"/>
                <w:vertAlign w:val="superscript"/>
              </w:rPr>
              <w:t>®</w:t>
            </w:r>
            <w:r>
              <w:rPr>
                <w:sz w:val="18"/>
              </w:rPr>
              <w:t xml:space="preserve"> Scheduler</w:t>
            </w:r>
          </w:p>
        </w:tc>
        <w:tc>
          <w:tcPr>
            <w:tcW w:type="dxa" w:w="3057"/>
          </w:tcPr>
          <w:p>
            <w:pPr>
              <w:spacing w:after="0"/>
            </w:pPr>
            <w:r>
              <w:rPr>
                <w:sz w:val="18"/>
              </w:rPr>
              <w:t>Build and maintain a project schedule that accounts for uncertainty</w:t>
            </w:r>
          </w:p>
        </w:tc>
        <w:tc>
          <w:tcPr>
            <w:tcW w:type="dxa" w:w="2995"/>
          </w:tcPr>
          <w:p>
            <w:pPr>
              <w:spacing w:after="0"/>
            </w:pPr>
            <w:hyperlink r:id="rId16">
              <w:r>
                <w:rPr>
                  <w:rFonts w:ascii="Consolas" w:hAnsi="Consolas" w:cs="Consolas"/>
                  <w:color w:val="1d4ed8"/>
                  <w:sz w:val="16"/>
                  <w:u w:val="single"/>
                </w:rPr>
                <w:t xml:space="preserve">scheduler.spertsuite.com</w:t>
              </w:r>
            </w:hyperlink>
          </w:p>
        </w:tc>
        <w:tc>
          <w:tcPr>
            <w:tcW w:type="dxa" w:w="1318"/>
          </w:tcPr>
          <w:p>
            <w:pPr>
              <w:spacing w:after="0"/>
            </w:pPr>
            <w:r>
              <w:rPr>
                <w:sz w:val="18"/>
              </w:rPr>
              <w:t>0.79.26 (</w:t>
            </w:r>
            <w:r>
              <w:rPr>
                <w:rFonts w:ascii="Consolas" w:hAnsi="Consolas"/>
                <w:sz w:val="16"/>
              </w:rPr>
              <w:t>86b3e49</w:t>
            </w:r>
            <w:r>
              <w:rPr>
                <w:sz w:val="18"/>
              </w:rPr>
              <w:t>)</w:t>
            </w:r>
          </w:p>
        </w:tc>
        <w:tc>
          <w:tcPr>
            <w:tcW w:type="dxa" w:w="1190"/>
          </w:tcPr>
          <w:p>
            <w:pPr>
              <w:spacing w:after="0"/>
            </w:pPr>
            <w:r>
              <w:rPr>
                <w:sz w:val="18"/>
              </w:rPr>
              <w:t>Write and Read</w:t>
            </w:r>
          </w:p>
        </w:tc>
      </w:tr>
      <w:tr>
        <w:trPr>
          <w:cantSplit/>
        </w:trPr>
        <w:tc>
          <w:tcPr>
            <w:tcW w:type="dxa" w:w="1808"/>
            <w:shd w:val="clear" w:color="auto" w:fill="f1f5f9"/>
          </w:tcPr>
          <w:p>
            <w:pPr>
              <w:spacing w:after="0"/>
            </w:pPr>
            <w:r>
              <w:rPr>
                <w:sz w:val="18"/>
              </w:rPr>
              <w:t>SPERT</w:t>
            </w:r>
            <w:r>
              <w:rPr>
                <w:sz w:val="18"/>
                <w:vertAlign w:val="superscript"/>
              </w:rPr>
              <w:t>®</w:t>
            </w:r>
            <w:r>
              <w:rPr>
                <w:sz w:val="18"/>
              </w:rPr>
              <w:t xml:space="preserve"> Story Map</w:t>
            </w:r>
          </w:p>
        </w:tc>
        <w:tc>
          <w:tcPr>
            <w:tcW w:type="dxa" w:w="3057"/>
            <w:shd w:val="clear" w:color="auto" w:fill="f1f5f9"/>
          </w:tcPr>
          <w:p>
            <w:pPr>
              <w:spacing w:after="0"/>
            </w:pPr>
            <w:r>
              <w:rPr>
                <w:sz w:val="18"/>
              </w:rPr>
              <w:t>Map and size release scope before the first sprint</w:t>
            </w:r>
          </w:p>
        </w:tc>
        <w:tc>
          <w:tcPr>
            <w:tcW w:type="dxa" w:w="2995"/>
            <w:shd w:val="clear" w:color="auto" w:fill="f1f5f9"/>
          </w:tcPr>
          <w:p>
            <w:pPr>
              <w:spacing w:after="0"/>
            </w:pPr>
            <w:hyperlink r:id="rId17">
              <w:r>
                <w:rPr>
                  <w:rFonts w:ascii="Consolas" w:hAnsi="Consolas" w:cs="Consolas"/>
                  <w:color w:val="1d4ed8"/>
                  <w:sz w:val="16"/>
                  <w:u w:val="single"/>
                </w:rPr>
                <w:t xml:space="preserve">storymap.spertsuite.com</w:t>
              </w:r>
            </w:hyperlink>
          </w:p>
        </w:tc>
        <w:tc>
          <w:tcPr>
            <w:tcW w:type="dxa" w:w="1318"/>
            <w:shd w:val="clear" w:color="auto" w:fill="f1f5f9"/>
          </w:tcPr>
          <w:p>
            <w:pPr>
              <w:spacing w:after="0"/>
            </w:pPr>
            <w:r>
              <w:rPr>
                <w:sz w:val="18"/>
              </w:rPr>
              <w:t>0.53.14 (</w:t>
            </w:r>
            <w:r>
              <w:rPr>
                <w:rFonts w:ascii="Consolas" w:hAnsi="Consolas"/>
                <w:sz w:val="16"/>
              </w:rPr>
              <w:t>5e613c4</w:t>
            </w:r>
            <w:r>
              <w:rPr>
                <w:sz w:val="18"/>
              </w:rPr>
              <w:t>)</w:t>
            </w:r>
          </w:p>
        </w:tc>
        <w:tc>
          <w:tcPr>
            <w:tcW w:type="dxa" w:w="1190"/>
            <w:shd w:val="clear" w:color="auto" w:fill="f1f5f9"/>
          </w:tcPr>
          <w:p>
            <w:pPr>
              <w:spacing w:after="0"/>
            </w:pPr>
            <w:r>
              <w:rPr>
                <w:sz w:val="18"/>
              </w:rPr>
              <w:t>Write and Read</w:t>
            </w:r>
          </w:p>
        </w:tc>
      </w:tr>
      <w:tr>
        <w:trPr>
          <w:cantSplit/>
        </w:trPr>
        <w:tc>
          <w:tcPr>
            <w:tcW w:type="dxa" w:w="1808"/>
          </w:tcPr>
          <w:p>
            <w:pPr>
              <w:spacing w:after="0"/>
            </w:pPr>
            <w:r>
              <w:rPr>
                <w:sz w:val="18"/>
              </w:rPr>
              <w:t>SPERT</w:t>
            </w:r>
            <w:r>
              <w:rPr>
                <w:sz w:val="18"/>
                <w:vertAlign w:val="superscript"/>
              </w:rPr>
              <w:t>®</w:t>
            </w:r>
            <w:r>
              <w:rPr>
                <w:sz w:val="18"/>
              </w:rPr>
              <w:t xml:space="preserve"> Forecaster</w:t>
            </w:r>
          </w:p>
        </w:tc>
        <w:tc>
          <w:tcPr>
            <w:tcW w:type="dxa" w:w="3057"/>
          </w:tcPr>
          <w:p>
            <w:pPr>
              <w:spacing w:after="0"/>
            </w:pPr>
            <w:r>
              <w:rPr>
                <w:sz w:val="18"/>
              </w:rPr>
              <w:t>Forecast release dates and how confident to be in them</w:t>
            </w:r>
          </w:p>
        </w:tc>
        <w:tc>
          <w:tcPr>
            <w:tcW w:type="dxa" w:w="2995"/>
          </w:tcPr>
          <w:p>
            <w:pPr>
              <w:spacing w:after="0"/>
            </w:pPr>
            <w:hyperlink r:id="rId18">
              <w:r>
                <w:rPr>
                  <w:rFonts w:ascii="Consolas" w:hAnsi="Consolas" w:cs="Consolas"/>
                  <w:color w:val="1d4ed8"/>
                  <w:sz w:val="16"/>
                  <w:u w:val="single"/>
                </w:rPr>
                <w:t xml:space="preserve">forecaster.spertsuite.com</w:t>
              </w:r>
            </w:hyperlink>
          </w:p>
        </w:tc>
        <w:tc>
          <w:tcPr>
            <w:tcW w:type="dxa" w:w="1318"/>
          </w:tcPr>
          <w:p>
            <w:pPr>
              <w:spacing w:after="0"/>
            </w:pPr>
            <w:r>
              <w:rPr>
                <w:sz w:val="18"/>
              </w:rPr>
              <w:t>0.47.4 (</w:t>
            </w:r>
            <w:r>
              <w:rPr>
                <w:rFonts w:ascii="Consolas" w:hAnsi="Consolas"/>
                <w:sz w:val="16"/>
              </w:rPr>
              <w:t>ff7ac3b</w:t>
            </w:r>
            <w:r>
              <w:rPr>
                <w:sz w:val="18"/>
              </w:rPr>
              <w:t>)</w:t>
            </w:r>
          </w:p>
        </w:tc>
        <w:tc>
          <w:tcPr>
            <w:tcW w:type="dxa" w:w="1190"/>
          </w:tcPr>
          <w:p>
            <w:pPr>
              <w:spacing w:after="0"/>
            </w:pPr>
            <w:r>
              <w:rPr>
                <w:sz w:val="18"/>
              </w:rPr>
              <w:t>Read only</w:t>
            </w:r>
          </w:p>
        </w:tc>
      </w:tr>
      <w:tr>
        <w:trPr>
          <w:cantSplit/>
        </w:trPr>
        <w:tc>
          <w:tcPr>
            <w:tcW w:type="dxa" w:w="1808"/>
            <w:shd w:val="clear" w:color="auto" w:fill="f1f5f9"/>
          </w:tcPr>
          <w:p>
            <w:pPr>
              <w:spacing w:after="0"/>
            </w:pPr>
            <w:r>
              <w:rPr>
                <w:sz w:val="18"/>
              </w:rPr>
              <w:t>SPERT</w:t>
            </w:r>
            <w:r>
              <w:rPr>
                <w:sz w:val="18"/>
                <w:vertAlign w:val="superscript"/>
              </w:rPr>
              <w:t>®</w:t>
            </w:r>
            <w:r>
              <w:rPr>
                <w:sz w:val="18"/>
              </w:rPr>
              <w:t xml:space="preserve"> CFD</w:t>
            </w:r>
          </w:p>
        </w:tc>
        <w:tc>
          <w:tcPr>
            <w:tcW w:type="dxa" w:w="3057"/>
            <w:shd w:val="clear" w:color="auto" w:fill="f1f5f9"/>
          </w:tcPr>
          <w:p>
            <w:pPr>
              <w:spacing w:after="0"/>
            </w:pPr>
            <w:r>
              <w:rPr>
                <w:sz w:val="18"/>
              </w:rPr>
              <w:t>See where work is piling up (cumulative flow)</w:t>
            </w:r>
          </w:p>
        </w:tc>
        <w:tc>
          <w:tcPr>
            <w:tcW w:type="dxa" w:w="2995"/>
            <w:shd w:val="clear" w:color="auto" w:fill="f1f5f9"/>
          </w:tcPr>
          <w:p>
            <w:pPr>
              <w:spacing w:after="0"/>
            </w:pPr>
            <w:hyperlink r:id="rId19">
              <w:r>
                <w:rPr>
                  <w:rFonts w:ascii="Consolas" w:hAnsi="Consolas" w:cs="Consolas"/>
                  <w:color w:val="1d4ed8"/>
                  <w:sz w:val="16"/>
                  <w:u w:val="single"/>
                </w:rPr>
                <w:t xml:space="preserve">cfd.spertsuite.com</w:t>
              </w:r>
            </w:hyperlink>
          </w:p>
        </w:tc>
        <w:tc>
          <w:tcPr>
            <w:tcW w:type="dxa" w:w="1318"/>
            <w:shd w:val="clear" w:color="auto" w:fill="f1f5f9"/>
          </w:tcPr>
          <w:p>
            <w:pPr>
              <w:spacing w:after="0"/>
            </w:pPr>
            <w:r>
              <w:rPr>
                <w:sz w:val="18"/>
              </w:rPr>
              <w:t>0.15.23 (</w:t>
            </w:r>
            <w:r>
              <w:rPr>
                <w:rFonts w:ascii="Consolas" w:hAnsi="Consolas"/>
                <w:sz w:val="16"/>
              </w:rPr>
              <w:t>c7f9c68</w:t>
            </w:r>
            <w:r>
              <w:rPr>
                <w:sz w:val="18"/>
              </w:rPr>
              <w:t>)</w:t>
            </w:r>
          </w:p>
        </w:tc>
        <w:tc>
          <w:tcPr>
            <w:tcW w:type="dxa" w:w="1190"/>
            <w:shd w:val="clear" w:color="auto" w:fill="f1f5f9"/>
          </w:tcPr>
          <w:p>
            <w:pPr>
              <w:spacing w:after="0"/>
            </w:pPr>
            <w:r>
              <w:rPr>
                <w:sz w:val="18"/>
              </w:rPr>
              <w:t>Not offered</w:t>
            </w:r>
          </w:p>
        </w:tc>
      </w:tr>
      <w:tr>
        <w:trPr>
          <w:cantSplit/>
        </w:trPr>
        <w:tc>
          <w:tcPr>
            <w:tcW w:type="dxa" w:w="1808"/>
          </w:tcPr>
          <w:p>
            <w:pPr>
              <w:spacing w:after="0"/>
            </w:pPr>
            <w:r>
              <w:rPr>
                <w:sz w:val="18"/>
              </w:rPr>
              <w:t>GanttApp™</w:t>
            </w:r>
          </w:p>
        </w:tc>
        <w:tc>
          <w:tcPr>
            <w:tcW w:type="dxa" w:w="3057"/>
          </w:tcPr>
          <w:p>
            <w:pPr>
              <w:spacing w:after="0"/>
            </w:pPr>
            <w:r>
              <w:rPr>
                <w:sz w:val="18"/>
              </w:rPr>
              <w:t>Build and share a project timeline with uncertainty included</w:t>
            </w:r>
          </w:p>
        </w:tc>
        <w:tc>
          <w:tcPr>
            <w:tcW w:type="dxa" w:w="2995"/>
          </w:tcPr>
          <w:p>
            <w:pPr>
              <w:spacing w:after="0"/>
            </w:pPr>
            <w:hyperlink r:id="rId20">
              <w:r>
                <w:rPr>
                  <w:rFonts w:ascii="Consolas" w:hAnsi="Consolas" w:cs="Consolas"/>
                  <w:color w:val="1d4ed8"/>
                  <w:sz w:val="16"/>
                  <w:u w:val="single"/>
                </w:rPr>
                <w:t xml:space="preserve">ganttapp.spertsuite.com</w:t>
              </w:r>
            </w:hyperlink>
          </w:p>
        </w:tc>
        <w:tc>
          <w:tcPr>
            <w:tcW w:type="dxa" w:w="1318"/>
          </w:tcPr>
          <w:p>
            <w:pPr>
              <w:spacing w:after="0"/>
            </w:pPr>
            <w:r>
              <w:rPr>
                <w:sz w:val="18"/>
              </w:rPr>
              <w:t>0.29.8 (</w:t>
            </w:r>
            <w:r>
              <w:rPr>
                <w:rFonts w:ascii="Consolas" w:hAnsi="Consolas"/>
                <w:sz w:val="16"/>
              </w:rPr>
              <w:t>64d1647</w:t>
            </w:r>
            <w:r>
              <w:rPr>
                <w:sz w:val="18"/>
              </w:rPr>
              <w:t>)</w:t>
            </w:r>
          </w:p>
        </w:tc>
        <w:tc>
          <w:tcPr>
            <w:tcW w:type="dxa" w:w="1190"/>
          </w:tcPr>
          <w:p>
            <w:pPr>
              <w:spacing w:after="0"/>
            </w:pPr>
            <w:r>
              <w:rPr>
                <w:sz w:val="18"/>
              </w:rPr>
              <w:t>Not offered</w:t>
            </w:r>
          </w:p>
        </w:tc>
      </w:tr>
      <w:tr>
        <w:trPr>
          <w:cantSplit/>
        </w:trPr>
        <w:tc>
          <w:tcPr>
            <w:tcW w:type="dxa" w:w="1808"/>
            <w:shd w:val="clear" w:color="auto" w:fill="f1f5f9"/>
          </w:tcPr>
          <w:p>
            <w:pPr>
              <w:spacing w:after="0"/>
            </w:pPr>
            <w:r>
              <w:rPr>
                <w:sz w:val="18"/>
              </w:rPr>
              <w:t>MyScrumBudget™</w:t>
            </w:r>
          </w:p>
        </w:tc>
        <w:tc>
          <w:tcPr>
            <w:tcW w:type="dxa" w:w="3057"/>
            <w:shd w:val="clear" w:color="auto" w:fill="f1f5f9"/>
          </w:tcPr>
          <w:p>
            <w:pPr>
              <w:spacing w:after="0"/>
            </w:pPr>
            <w:r>
              <w:rPr>
                <w:sz w:val="18"/>
              </w:rPr>
              <w:t>Plan and reforecast a project or team budget</w:t>
            </w:r>
          </w:p>
        </w:tc>
        <w:tc>
          <w:tcPr>
            <w:tcW w:type="dxa" w:w="2995"/>
            <w:shd w:val="clear" w:color="auto" w:fill="f1f5f9"/>
          </w:tcPr>
          <w:p>
            <w:pPr>
              <w:spacing w:after="0"/>
            </w:pPr>
            <w:hyperlink r:id="rId21">
              <w:r>
                <w:rPr>
                  <w:rFonts w:ascii="Consolas" w:hAnsi="Consolas" w:cs="Consolas"/>
                  <w:color w:val="1d4ed8"/>
                  <w:sz w:val="16"/>
                  <w:u w:val="single"/>
                </w:rPr>
                <w:t xml:space="preserve">myscrumbudget.spertsuite.com</w:t>
              </w:r>
            </w:hyperlink>
          </w:p>
        </w:tc>
        <w:tc>
          <w:tcPr>
            <w:tcW w:type="dxa" w:w="1318"/>
            <w:shd w:val="clear" w:color="auto" w:fill="f1f5f9"/>
          </w:tcPr>
          <w:p>
            <w:pPr>
              <w:spacing w:after="0"/>
            </w:pPr>
            <w:r>
              <w:rPr>
                <w:sz w:val="18"/>
              </w:rPr>
              <w:t>0.44.4 (</w:t>
            </w:r>
            <w:r>
              <w:rPr>
                <w:rFonts w:ascii="Consolas" w:hAnsi="Consolas"/>
                <w:sz w:val="16"/>
              </w:rPr>
              <w:t>0825168</w:t>
            </w:r>
            <w:r>
              <w:rPr>
                <w:sz w:val="18"/>
              </w:rPr>
              <w:t>)</w:t>
            </w:r>
          </w:p>
        </w:tc>
        <w:tc>
          <w:tcPr>
            <w:tcW w:type="dxa" w:w="1190"/>
            <w:shd w:val="clear" w:color="auto" w:fill="f1f5f9"/>
          </w:tcPr>
          <w:p>
            <w:pPr>
              <w:spacing w:after="0"/>
            </w:pPr>
            <w:r>
              <w:rPr>
                <w:sz w:val="18"/>
              </w:rPr>
              <w:t>Not offered</w:t>
            </w:r>
          </w:p>
        </w:tc>
      </w:tr>
    </w:tbl>
    <w:p>
      <w:pPr>
        <w:spacing w:after="40"/>
      </w:pPr>
    </w:p>
    <w:p>
      <w:r>
        <w:rPr/>
        <w:t xml:space="preserve">Descriptions are from the suite's home page, </w:t>
      </w:r>
      <w:hyperlink r:id="rId22">
        <w:r>
          <w:rPr>
            <w:rFonts w:ascii="Consolas" w:hAnsi="Consolas" w:cs="Consolas"/>
            <w:color w:val="1d4ed8"/>
            <w:sz w:val="18"/>
            <w:u w:val="single"/>
          </w:rPr>
          <w:t xml:space="preserve">spertsuite.com</w:t>
        </w:r>
      </w:hyperlink>
      <w:r>
        <w:rPr/>
        <w:t>. SPERT</w:t>
      </w:r>
      <w:r>
        <w:rPr>
          <w:vertAlign w:val="superscript"/>
        </w:rPr>
        <w:t>®</w:t>
      </w:r>
      <w:r>
        <w:rPr/>
        <w:t xml:space="preserve"> Scheduler and SPERT</w:t>
      </w:r>
      <w:r>
        <w:rPr>
          <w:vertAlign w:val="superscript"/>
        </w:rPr>
        <w:t>®</w:t>
      </w:r>
      <w:r>
        <w:rPr/>
        <w:t xml:space="preserve"> Forecaster use the Statistical PERT</w:t>
      </w:r>
      <w:r>
        <w:rPr>
          <w:vertAlign w:val="superscript"/>
        </w:rPr>
        <w:t>®</w:t>
      </w:r>
      <w:r>
        <w:rPr/>
        <w:t xml:space="preserve"> estimation technique; the other apps do not depend on it. The legal documents also cover SPERT</w:t>
      </w:r>
      <w:r>
        <w:rPr>
          <w:vertAlign w:val="superscript"/>
        </w:rPr>
        <w:t>®</w:t>
      </w:r>
      <w:r>
        <w:rPr/>
        <w:t xml:space="preserve"> AHP, which is not listed on the home page and is not part of this overview.</w:t>
      </w:r>
    </w:p>
    <w:p>
      <w:r>
        <w:rPr>
          <w:b/>
        </w:rPr>
        <w:t>How it is built.</w:t>
      </w:r>
      <w:r>
        <w:rPr/>
        <w:t xml:space="preserve"> Every app is a single-page React application (SPERT</w:t>
      </w:r>
      <w:r>
        <w:rPr>
          <w:vertAlign w:val="superscript"/>
        </w:rPr>
        <w:t>®</w:t>
      </w:r>
      <w:r>
        <w:rPr/>
        <w:t xml:space="preserve"> Scheduler and SPERT</w:t>
      </w:r>
      <w:r>
        <w:rPr>
          <w:vertAlign w:val="superscript"/>
        </w:rPr>
        <w:t>®</w:t>
      </w:r>
      <w:r>
        <w:rPr/>
        <w:t xml:space="preserve"> Story Map are built with Vite; the other four with Next.js), served by Vercel. None of the app repositories contains a server-side API route: the code that handles a user's projects runs in the browser. All six apps share one Google Firebase project for the optional features: Firebase Authentication for sign-in, Cloud Firestore for saved projects and the Connect AI relay, and Cloud Functions for sharing invitations, Connect AI pairing, and the Connect AI server itself. Invitation emails are sent through Resend. The suite has no analytics, telemetry or error-tracking libraries (none appears in any app's dependencies), and the </w:t>
      </w:r>
      <w:hyperlink r:id="rId13">
        <w:r>
          <w:rPr>
            <w:color w:val="1d4ed8"/>
            <w:u w:val="single"/>
          </w:rPr>
          <w:t xml:space="preserve">Privacy Policy</w:t>
        </w:r>
      </w:hyperlink>
      <w:r>
        <w:rPr/>
        <w:t xml:space="preserve"> (§7.7) says it uses no tracking cookies.</w:t>
      </w:r>
    </w:p>
    <w:p>
      <w:r>
        <w:rPr>
          <w:b/>
        </w:rPr>
        <w:t>Who runs it.</w:t>
      </w:r>
      <w:r>
        <w:rPr/>
        <w:t xml:space="preserve"> famousdavis, LLC, a Florida limited liability company, has operated the apps since 2026-09-12 (</w:t>
      </w:r>
      <w:hyperlink r:id="rId13">
        <w:r>
          <w:rPr>
            <w:color w:val="1d4ed8"/>
            <w:u w:val="single"/>
          </w:rPr>
          <w:t xml:space="preserve">Privacy Policy</w:t>
        </w:r>
      </w:hyperlink>
      <w:r>
        <w:rPr/>
        <w:t xml:space="preserve"> §1.1). It is a single-operator business. The source code is public on GitHub under GPL-3.0 with additional terms, so </w:t>
      </w:r>
      <w:r>
        <w:rPr>
          <w:highlight w:val="yellow"/>
        </w:rPr>
        <w:t>[REVIEWING TEAM]</w:t>
      </w:r>
      <w:r>
        <w:rPr/>
        <w:t xml:space="preserve"> can read the code that runs.</w:t>
      </w:r>
    </w:p>
    <w:p>
      <w:pPr>
        <w:keepNext/>
        <w:spacing w:after="40"/>
        <w:jc w:val="center"/>
      </w:pPr>
      <w:r>
        <w:drawing>
          <wp:inline xmlns:a="http://schemas.openxmlformats.org/drawingml/2006/main" xmlns:pic="http://schemas.openxmlformats.org/drawingml/2006/picture">
            <wp:extent cx="6583680" cy="5596128"/>
            <wp:docPr id="2" name="Picture 2"/>
            <wp:cNvGraphicFramePr>
              <a:graphicFrameLocks noChangeAspect="1"/>
            </wp:cNvGraphicFramePr>
            <a:graphic>
              <a:graphicData uri="http://schemas.openxmlformats.org/drawingml/2006/picture">
                <pic:pic>
                  <pic:nvPicPr>
                    <pic:cNvPr id="0" name="arch-components.png"/>
                    <pic:cNvPicPr/>
                  </pic:nvPicPr>
                  <pic:blipFill>
                    <a:blip r:embed="rId23"/>
                    <a:stretch>
                      <a:fillRect/>
                    </a:stretch>
                  </pic:blipFill>
                  <pic:spPr>
                    <a:xfrm>
                      <a:off x="0" y="0"/>
                      <a:ext cx="6583680" cy="5596128"/>
                    </a:xfrm>
                    <a:prstGeom prst="rect"/>
                  </pic:spPr>
                </pic:pic>
              </a:graphicData>
            </a:graphic>
          </wp:inline>
        </w:drawing>
      </w:r>
    </w:p>
    <w:p>
      <w:pPr>
        <w:spacing w:after="200"/>
        <w:jc w:val="center"/>
      </w:pPr>
      <w:r>
        <w:rPr>
          <w:i/>
          <w:color w:val="475569"/>
          <w:sz w:val="16"/>
        </w:rPr>
        <w:t>Figure 1. SPERT</w:t>
      </w:r>
      <w:r>
        <w:rPr>
          <w:i/>
          <w:color w:val="475569"/>
          <w:sz w:val="16"/>
          <w:vertAlign w:val="superscript"/>
        </w:rPr>
        <w:t>®</w:t>
      </w:r>
      <w:r>
        <w:rPr>
          <w:i/>
          <w:color w:val="475569"/>
          <w:sz w:val="16"/>
        </w:rPr>
        <w:t xml:space="preserve"> Suite components. The numbered marks on each box show the tier or tiers that use it.</w:t>
      </w:r>
    </w:p>
    <w:p>
      <w:pPr>
        <w:pStyle w:val="Heading2"/>
      </w:pPr>
      <w:r>
        <w:rPr/>
        <w:t>2. Tier 1: local-only use (the default)</w:t>
      </w:r>
    </w:p>
    <w:p>
      <w:pPr>
        <w:keepNext/>
        <w:spacing w:after="40"/>
        <w:jc w:val="center"/>
      </w:pPr>
      <w:r>
        <w:drawing>
          <wp:inline xmlns:a="http://schemas.openxmlformats.org/drawingml/2006/main" xmlns:pic="http://schemas.openxmlformats.org/drawingml/2006/picture">
            <wp:extent cx="6583680" cy="3730752"/>
            <wp:docPr id="3" name="Picture 3"/>
            <wp:cNvGraphicFramePr>
              <a:graphicFrameLocks noChangeAspect="1"/>
            </wp:cNvGraphicFramePr>
            <a:graphic>
              <a:graphicData uri="http://schemas.openxmlformats.org/drawingml/2006/picture">
                <pic:pic>
                  <pic:nvPicPr>
                    <pic:cNvPr id="0" name="arch-local.png"/>
                    <pic:cNvPicPr/>
                  </pic:nvPicPr>
                  <pic:blipFill>
                    <a:blip r:embed="rId24"/>
                    <a:stretch>
                      <a:fillRect/>
                    </a:stretch>
                  </pic:blipFill>
                  <pic:spPr>
                    <a:xfrm>
                      <a:off x="0" y="0"/>
                      <a:ext cx="6583680" cy="3730752"/>
                    </a:xfrm>
                    <a:prstGeom prst="rect"/>
                  </pic:spPr>
                </pic:pic>
              </a:graphicData>
            </a:graphic>
          </wp:inline>
        </w:drawing>
      </w:r>
    </w:p>
    <w:p>
      <w:pPr>
        <w:spacing w:after="200"/>
        <w:jc w:val="center"/>
      </w:pPr>
      <w:r>
        <w:rPr>
          <w:i/>
          <w:color w:val="475569"/>
          <w:sz w:val="16"/>
        </w:rPr>
        <w:t>Figure 2. Tier 1 data flows. Nothing in this tier sends project data off the device.</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40"/>
        <w:gridCol w:w="3363"/>
        <w:gridCol w:w="4331"/>
        <w:gridCol w:w="2335"/>
      </w:tblGrid>
      <w:tr>
        <w:trPr>
          <w:cantSplit/>
          <w:tblHeader w:val="true"/>
        </w:trPr>
        <w:tc>
          <w:tcPr>
            <w:tcW w:type="dxa" w:w="340"/>
            <w:shd w:val="clear" w:color="auto" w:fill="1d4ed8"/>
          </w:tcPr>
          <w:p>
            <w:pPr>
              <w:spacing w:after="0"/>
            </w:pPr>
            <w:r>
              <w:rPr>
                <w:b/>
                <w:color w:val="FFFFFF"/>
                <w:sz w:val="18"/>
              </w:rPr>
              <w:t>#</w:t>
            </w:r>
          </w:p>
        </w:tc>
        <w:tc>
          <w:tcPr>
            <w:tcW w:type="dxa" w:w="3363"/>
            <w:shd w:val="clear" w:color="auto" w:fill="1d4ed8"/>
          </w:tcPr>
          <w:p>
            <w:pPr>
              <w:spacing w:after="0"/>
            </w:pPr>
            <w:r>
              <w:rPr>
                <w:b/>
                <w:color w:val="FFFFFF"/>
                <w:sz w:val="18"/>
              </w:rPr>
              <w:t>From and to</w:t>
            </w:r>
          </w:p>
        </w:tc>
        <w:tc>
          <w:tcPr>
            <w:tcW w:type="dxa" w:w="4331"/>
            <w:shd w:val="clear" w:color="auto" w:fill="1d4ed8"/>
          </w:tcPr>
          <w:p>
            <w:pPr>
              <w:spacing w:after="0"/>
            </w:pPr>
            <w:r>
              <w:rPr>
                <w:b/>
                <w:color w:val="FFFFFF"/>
                <w:sz w:val="18"/>
              </w:rPr>
              <w:t>What travels</w:t>
            </w:r>
          </w:p>
        </w:tc>
        <w:tc>
          <w:tcPr>
            <w:tcW w:type="dxa" w:w="2335"/>
            <w:shd w:val="clear" w:color="auto" w:fill="1d4ed8"/>
          </w:tcPr>
          <w:p>
            <w:pPr>
              <w:spacing w:after="0"/>
            </w:pPr>
            <w:r>
              <w:rPr>
                <w:b/>
                <w:color w:val="FFFFFF"/>
                <w:sz w:val="18"/>
              </w:rPr>
              <w:t>When</w:t>
            </w:r>
          </w:p>
        </w:tc>
      </w:tr>
      <w:tr>
        <w:trPr>
          <w:cantSplit/>
        </w:trPr>
        <w:tc>
          <w:tcPr>
            <w:tcW w:type="dxa" w:w="340"/>
          </w:tcPr>
          <w:p>
            <w:pPr>
              <w:spacing w:after="0"/>
            </w:pPr>
            <w:r>
              <w:rPr>
                <w:sz w:val="18"/>
              </w:rPr>
              <w:t>1</w:t>
            </w:r>
          </w:p>
        </w:tc>
        <w:tc>
          <w:tcPr>
            <w:tcW w:type="dxa" w:w="3363"/>
          </w:tcPr>
          <w:p>
            <w:pPr>
              <w:spacing w:after="0"/>
            </w:pPr>
            <w:r>
              <w:rPr>
                <w:sz w:val="18"/>
              </w:rPr>
              <w:t>App and browser localStorage</w:t>
            </w:r>
          </w:p>
        </w:tc>
        <w:tc>
          <w:tcPr>
            <w:tcW w:type="dxa" w:w="4331"/>
          </w:tcPr>
          <w:p>
            <w:pPr>
              <w:spacing w:after="0"/>
            </w:pPr>
            <w:r>
              <w:rPr>
                <w:sz w:val="18"/>
              </w:rPr>
              <w:t>Projects and settings, read and written on the device</w:t>
            </w:r>
          </w:p>
        </w:tc>
        <w:tc>
          <w:tcPr>
            <w:tcW w:type="dxa" w:w="2335"/>
          </w:tcPr>
          <w:p>
            <w:pPr>
              <w:spacing w:after="0"/>
            </w:pPr>
            <w:r>
              <w:rPr>
                <w:sz w:val="18"/>
              </w:rPr>
              <w:t>Always</w:t>
            </w:r>
          </w:p>
        </w:tc>
      </w:tr>
      <w:tr>
        <w:trPr>
          <w:cantSplit/>
        </w:trPr>
        <w:tc>
          <w:tcPr>
            <w:tcW w:type="dxa" w:w="340"/>
            <w:shd w:val="clear" w:color="auto" w:fill="f1f5f9"/>
          </w:tcPr>
          <w:p>
            <w:pPr>
              <w:spacing w:after="0"/>
            </w:pPr>
            <w:r>
              <w:rPr>
                <w:sz w:val="18"/>
              </w:rPr>
              <w:t>2</w:t>
            </w:r>
          </w:p>
        </w:tc>
        <w:tc>
          <w:tcPr>
            <w:tcW w:type="dxa" w:w="3363"/>
            <w:shd w:val="clear" w:color="auto" w:fill="f1f5f9"/>
          </w:tcPr>
          <w:p>
            <w:pPr>
              <w:spacing w:after="0"/>
            </w:pPr>
            <w:r>
              <w:rPr>
                <w:sz w:val="18"/>
              </w:rPr>
              <w:t>Vercel to browser</w:t>
            </w:r>
          </w:p>
        </w:tc>
        <w:tc>
          <w:tcPr>
            <w:tcW w:type="dxa" w:w="4331"/>
            <w:shd w:val="clear" w:color="auto" w:fill="f1f5f9"/>
          </w:tcPr>
          <w:p>
            <w:pPr>
              <w:spacing w:after="0"/>
            </w:pPr>
            <w:r>
              <w:rPr>
                <w:sz w:val="18"/>
              </w:rPr>
              <w:t>The app's pages and code. Vercel receives standard request data, such as IP address and browser type (</w:t>
            </w:r>
            <w:hyperlink r:id="rId13">
              <w:r>
                <w:rPr>
                  <w:color w:val="1d4ed8"/>
                  <w:sz w:val="18"/>
                  <w:u w:val="single"/>
                </w:rPr>
                <w:t xml:space="preserve">Privacy Policy</w:t>
              </w:r>
            </w:hyperlink>
            <w:r>
              <w:rPr>
                <w:sz w:val="18"/>
              </w:rPr>
              <w:t xml:space="preserve"> §1)</w:t>
            </w:r>
          </w:p>
        </w:tc>
        <w:tc>
          <w:tcPr>
            <w:tcW w:type="dxa" w:w="2335"/>
            <w:shd w:val="clear" w:color="auto" w:fill="f1f5f9"/>
          </w:tcPr>
          <w:p>
            <w:pPr>
              <w:spacing w:after="0"/>
            </w:pPr>
            <w:r>
              <w:rPr>
                <w:sz w:val="18"/>
              </w:rPr>
              <w:t>Every page load</w:t>
            </w:r>
          </w:p>
        </w:tc>
      </w:tr>
      <w:tr>
        <w:trPr>
          <w:cantSplit/>
        </w:trPr>
        <w:tc>
          <w:tcPr>
            <w:tcW w:type="dxa" w:w="340"/>
          </w:tcPr>
          <w:p>
            <w:pPr>
              <w:spacing w:after="0"/>
            </w:pPr>
            <w:r>
              <w:rPr>
                <w:sz w:val="18"/>
              </w:rPr>
              <w:t>3</w:t>
            </w:r>
          </w:p>
        </w:tc>
        <w:tc>
          <w:tcPr>
            <w:tcW w:type="dxa" w:w="3363"/>
          </w:tcPr>
          <w:p>
            <w:pPr>
              <w:spacing w:after="0"/>
            </w:pPr>
            <w:r>
              <w:rPr>
                <w:sz w:val="18"/>
              </w:rPr>
              <w:t>App to the user's files</w:t>
            </w:r>
          </w:p>
        </w:tc>
        <w:tc>
          <w:tcPr>
            <w:tcW w:type="dxa" w:w="4331"/>
          </w:tcPr>
          <w:p>
            <w:pPr>
              <w:spacing w:after="0"/>
            </w:pPr>
            <w:r>
              <w:rPr>
                <w:sz w:val="18"/>
              </w:rPr>
              <w:t>Export files, saved where the user chooses</w:t>
            </w:r>
          </w:p>
        </w:tc>
        <w:tc>
          <w:tcPr>
            <w:tcW w:type="dxa" w:w="2335"/>
          </w:tcPr>
          <w:p>
            <w:pPr>
              <w:spacing w:after="0"/>
            </w:pPr>
            <w:r>
              <w:rPr>
                <w:sz w:val="18"/>
              </w:rPr>
              <w:t>When the user exports</w:t>
            </w:r>
          </w:p>
        </w:tc>
      </w:tr>
      <w:tr>
        <w:trPr>
          <w:cantSplit/>
        </w:trPr>
        <w:tc>
          <w:tcPr>
            <w:tcW w:type="dxa" w:w="340"/>
            <w:shd w:val="clear" w:color="auto" w:fill="f1f5f9"/>
          </w:tcPr>
          <w:p>
            <w:pPr>
              <w:spacing w:after="0"/>
            </w:pPr>
            <w:r>
              <w:rPr>
                <w:sz w:val="18"/>
              </w:rPr>
              <w:t>4</w:t>
            </w:r>
          </w:p>
        </w:tc>
        <w:tc>
          <w:tcPr>
            <w:tcW w:type="dxa" w:w="3363"/>
            <w:shd w:val="clear" w:color="auto" w:fill="f1f5f9"/>
          </w:tcPr>
          <w:p>
            <w:pPr>
              <w:spacing w:after="0"/>
            </w:pPr>
            <w:r>
              <w:rPr>
                <w:sz w:val="18"/>
              </w:rPr>
              <w:t>SPERT</w:t>
            </w:r>
            <w:r>
              <w:rPr>
                <w:sz w:val="18"/>
                <w:vertAlign w:val="superscript"/>
              </w:rPr>
              <w:t>®</w:t>
            </w:r>
            <w:r>
              <w:rPr>
                <w:sz w:val="18"/>
              </w:rPr>
              <w:t xml:space="preserve"> Scheduler to Nager.Date (</w:t>
            </w:r>
            <w:r>
              <w:rPr>
                <w:rFonts w:ascii="Consolas" w:hAnsi="Consolas"/>
                <w:sz w:val="16"/>
              </w:rPr>
              <w:t>date.nager.at</w:t>
            </w:r>
            <w:r>
              <w:rPr>
                <w:sz w:val="18"/>
              </w:rPr>
              <w:t>)</w:t>
            </w:r>
          </w:p>
        </w:tc>
        <w:tc>
          <w:tcPr>
            <w:tcW w:type="dxa" w:w="4331"/>
            <w:shd w:val="clear" w:color="auto" w:fill="f1f5f9"/>
          </w:tcPr>
          <w:p>
            <w:pPr>
              <w:spacing w:after="0"/>
            </w:pPr>
            <w:r>
              <w:rPr>
                <w:sz w:val="18"/>
              </w:rPr>
              <w:t>The list of supported countries when the Calendar page opens; a two-letter country code and a year when the user loads holidays. The service also sees the request's IP address</w:t>
            </w:r>
          </w:p>
        </w:tc>
        <w:tc>
          <w:tcPr>
            <w:tcW w:type="dxa" w:w="2335"/>
            <w:shd w:val="clear" w:color="auto" w:fill="f1f5f9"/>
          </w:tcPr>
          <w:p>
            <w:pPr>
              <w:spacing w:after="0"/>
            </w:pPr>
            <w:r>
              <w:rPr>
                <w:sz w:val="18"/>
              </w:rPr>
              <w:t>Calendar page only</w:t>
            </w:r>
          </w:p>
        </w:tc>
      </w:tr>
      <w:tr>
        <w:trPr>
          <w:cantSplit/>
        </w:trPr>
        <w:tc>
          <w:tcPr>
            <w:tcW w:type="dxa" w:w="340"/>
          </w:tcPr>
          <w:p>
            <w:pPr>
              <w:spacing w:after="0"/>
            </w:pPr>
            <w:r>
              <w:rPr>
                <w:sz w:val="18"/>
              </w:rPr>
              <w:t>5</w:t>
            </w:r>
          </w:p>
        </w:tc>
        <w:tc>
          <w:tcPr>
            <w:tcW w:type="dxa" w:w="3363"/>
          </w:tcPr>
          <w:p>
            <w:pPr>
              <w:spacing w:after="0"/>
            </w:pPr>
            <w:r>
              <w:rPr>
                <w:sz w:val="18"/>
              </w:rPr>
              <w:t>SPERT</w:t>
            </w:r>
            <w:r>
              <w:rPr>
                <w:sz w:val="18"/>
                <w:vertAlign w:val="superscript"/>
              </w:rPr>
              <w:t>®</w:t>
            </w:r>
            <w:r>
              <w:rPr>
                <w:sz w:val="18"/>
              </w:rPr>
              <w:t xml:space="preserve"> Story Map to a SPERT</w:t>
            </w:r>
            <w:r>
              <w:rPr>
                <w:sz w:val="18"/>
                <w:vertAlign w:val="superscript"/>
              </w:rPr>
              <w:t>®</w:t>
            </w:r>
            <w:r>
              <w:rPr>
                <w:sz w:val="18"/>
              </w:rPr>
              <w:t xml:space="preserve"> Forecaster tab</w:t>
            </w:r>
          </w:p>
        </w:tc>
        <w:tc>
          <w:tcPr>
            <w:tcW w:type="dxa" w:w="4331"/>
          </w:tcPr>
          <w:p>
            <w:pPr>
              <w:spacing w:after="0"/>
            </w:pPr>
            <w:r>
              <w:rPr>
                <w:sz w:val="18"/>
              </w:rPr>
              <w:t>A backlog, handed from one open browser tab to the other (</w:t>
            </w:r>
            <w:r>
              <w:rPr>
                <w:rFonts w:ascii="Consolas" w:hAnsi="Consolas"/>
                <w:sz w:val="16"/>
              </w:rPr>
              <w:t>window.postMessage</w:t>
            </w:r>
            <w:r>
              <w:rPr>
                <w:sz w:val="18"/>
              </w:rPr>
              <w:t>). It does not pass through a server</w:t>
            </w:r>
          </w:p>
        </w:tc>
        <w:tc>
          <w:tcPr>
            <w:tcW w:type="dxa" w:w="2335"/>
          </w:tcPr>
          <w:p>
            <w:pPr>
              <w:spacing w:after="0"/>
            </w:pPr>
            <w:r>
              <w:rPr>
                <w:sz w:val="18"/>
              </w:rPr>
              <w:t>Only when the user sends a backlog</w:t>
            </w:r>
          </w:p>
        </w:tc>
      </w:tr>
    </w:tbl>
    <w:p>
      <w:pPr>
        <w:spacing w:after="40"/>
      </w:pPr>
    </w:p>
    <w:p>
      <w:pPr>
        <w:pStyle w:val="Heading4"/>
      </w:pPr>
      <w:r>
        <w:rPr/>
        <w:t>What this means for a reviewer</w:t>
      </w:r>
    </w:p>
    <w:p>
      <w:pPr>
        <w:numPr>
          <w:ilvl w:val="0"/>
          <w:numId w:val="9000"/>
        </w:numPr>
        <w:spacing w:after="40"/>
      </w:pPr>
      <w:r>
        <w:rPr>
          <w:b/>
        </w:rPr>
        <w:t xml:space="preserve">The </w:t>
      </w:r>
      <w:hyperlink r:id="rId13">
        <w:r>
          <w:rPr>
            <w:b/>
            <w:color w:val="1d4ed8"/>
            <w:u w:val="single"/>
          </w:rPr>
          <w:t xml:space="preserve">Privacy Policy</w:t>
        </w:r>
      </w:hyperlink>
      <w:r>
        <w:rPr>
          <w:b/>
        </w:rPr>
        <w:t xml:space="preserve"> (§1) says so directly:</w:t>
      </w:r>
      <w:r>
        <w:rPr/>
        <w:t xml:space="preserve"> core functionality "keeps your project data entirely within your local browser; the Apps do not send project data to the Operator or any third party."</w:t>
      </w:r>
    </w:p>
    <w:p>
      <w:pPr>
        <w:numPr>
          <w:ilvl w:val="0"/>
          <w:numId w:val="9000"/>
        </w:numPr>
        <w:spacing w:after="40"/>
      </w:pPr>
      <w:r>
        <w:rPr>
          <w:b/>
        </w:rPr>
        <w:t>Local storage belongs to the browser profile, not the person.</w:t>
      </w:r>
      <w:r>
        <w:rPr/>
        <w:t xml:space="preserve"> Anyone using the same browser profile can see its local projects, and clearing the browser's site data deletes them. Users should export regularly if a project matters.</w:t>
      </w:r>
    </w:p>
    <w:p>
      <w:pPr>
        <w:numPr>
          <w:ilvl w:val="0"/>
          <w:numId w:val="9000"/>
        </w:numPr>
        <w:spacing w:after="40"/>
      </w:pPr>
      <w:r>
        <w:rPr>
          <w:b/>
        </w:rPr>
        <w:t>Firebase is not involved.</w:t>
      </w:r>
      <w:r>
        <w:rPr/>
        <w:t xml:space="preserve"> No sign-in happens, and the </w:t>
      </w:r>
      <w:hyperlink r:id="rId13">
        <w:r>
          <w:rPr>
            <w:color w:val="1d4ed8"/>
            <w:u w:val="single"/>
          </w:rPr>
          <w:t xml:space="preserve">Privacy Policy</w:t>
        </w:r>
      </w:hyperlink>
      <w:r>
        <w:rPr/>
        <w:t xml:space="preserve"> (§7.7) says no authentication cookies are set for users who do not enable cloud storage.</w:t>
      </w:r>
    </w:p>
    <w:p>
      <w:pPr>
        <w:numPr>
          <w:ilvl w:val="0"/>
          <w:numId w:val="9000"/>
        </w:numPr>
        <w:spacing w:after="120"/>
      </w:pPr>
      <w:r>
        <w:rPr>
          <w:b/>
        </w:rPr>
        <w:t>The holiday lookup is the one outbound call besides page loads,</w:t>
      </w:r>
      <w:r>
        <w:rPr/>
        <w:t xml:space="preserve"> and only in SPERT</w:t>
      </w:r>
      <w:r>
        <w:rPr>
          <w:vertAlign w:val="superscript"/>
        </w:rPr>
        <w:t>®</w:t>
      </w:r>
      <w:r>
        <w:rPr/>
        <w:t xml:space="preserve"> Scheduler. Nager.Date is a public holiday API, described in </w:t>
      </w:r>
      <w:hyperlink r:id="rId13">
        <w:r>
          <w:rPr>
            <w:color w:val="1d4ed8"/>
            <w:u w:val="single"/>
          </w:rPr>
          <w:t xml:space="preserve">Privacy Policy</w:t>
        </w:r>
      </w:hyperlink>
      <w:r>
        <w:rPr/>
        <w:t xml:space="preserve"> §1; it receives no project or account data.</w:t>
      </w:r>
    </w:p>
    <w:p>
      <w:pPr>
        <w:pStyle w:val="Heading2"/>
      </w:pPr>
      <w:r>
        <w:rPr/>
        <w:t>3. Tier 2: cloud storage and sharing</w:t>
      </w:r>
    </w:p>
    <w:p>
      <w:pPr>
        <w:keepNext/>
        <w:spacing w:after="40"/>
        <w:jc w:val="center"/>
      </w:pPr>
      <w:r>
        <w:drawing>
          <wp:inline xmlns:a="http://schemas.openxmlformats.org/drawingml/2006/main" xmlns:pic="http://schemas.openxmlformats.org/drawingml/2006/picture">
            <wp:extent cx="6583680" cy="4740250"/>
            <wp:docPr id="4" name="Picture 4"/>
            <wp:cNvGraphicFramePr>
              <a:graphicFrameLocks noChangeAspect="1"/>
            </wp:cNvGraphicFramePr>
            <a:graphic>
              <a:graphicData uri="http://schemas.openxmlformats.org/drawingml/2006/picture">
                <pic:pic>
                  <pic:nvPicPr>
                    <pic:cNvPr id="0" name="arch-cloud.png"/>
                    <pic:cNvPicPr/>
                  </pic:nvPicPr>
                  <pic:blipFill>
                    <a:blip r:embed="rId25"/>
                    <a:stretch>
                      <a:fillRect/>
                    </a:stretch>
                  </pic:blipFill>
                  <pic:spPr>
                    <a:xfrm>
                      <a:off x="0" y="0"/>
                      <a:ext cx="6583680" cy="4740250"/>
                    </a:xfrm>
                    <a:prstGeom prst="rect"/>
                  </pic:spPr>
                </pic:pic>
              </a:graphicData>
            </a:graphic>
          </wp:inline>
        </w:drawing>
      </w:r>
    </w:p>
    <w:p>
      <w:pPr>
        <w:spacing w:after="200"/>
        <w:jc w:val="center"/>
      </w:pPr>
      <w:r>
        <w:rPr>
          <w:i/>
          <w:color w:val="475569"/>
          <w:sz w:val="16"/>
        </w:rPr>
        <w:t xml:space="preserve">Figure 3. Tier 2 data flows. Cloud storage needs sign-in and acceptance of the Terms and </w:t>
      </w:r>
      <w:hyperlink r:id="rId13">
        <w:r>
          <w:rPr>
            <w:color w:val="1d4ed8"/>
            <w:sz w:val="16"/>
            <w:u w:val="single"/>
          </w:rPr>
          <w:t xml:space="preserve">Privacy Policy</w:t>
        </w:r>
      </w:hyperlink>
      <w:r>
        <w:rPr>
          <w:i/>
          <w:color w:val="475569"/>
          <w:sz w:val="16"/>
        </w:rPr>
        <w: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63"/>
        <w:gridCol w:w="3915"/>
        <w:gridCol w:w="6090"/>
      </w:tblGrid>
      <w:tr>
        <w:trPr>
          <w:cantSplit/>
          <w:tblHeader w:val="true"/>
        </w:trPr>
        <w:tc>
          <w:tcPr>
            <w:tcW w:type="dxa" w:w="363"/>
            <w:shd w:val="clear" w:color="auto" w:fill="1d4ed8"/>
          </w:tcPr>
          <w:p>
            <w:pPr>
              <w:spacing w:after="0"/>
            </w:pPr>
            <w:r>
              <w:rPr>
                <w:b/>
                <w:color w:val="FFFFFF"/>
                <w:sz w:val="18"/>
              </w:rPr>
              <w:t>#</w:t>
            </w:r>
          </w:p>
        </w:tc>
        <w:tc>
          <w:tcPr>
            <w:tcW w:type="dxa" w:w="3915"/>
            <w:shd w:val="clear" w:color="auto" w:fill="1d4ed8"/>
          </w:tcPr>
          <w:p>
            <w:pPr>
              <w:spacing w:after="0"/>
            </w:pPr>
            <w:r>
              <w:rPr>
                <w:b/>
                <w:color w:val="FFFFFF"/>
                <w:sz w:val="18"/>
              </w:rPr>
              <w:t>From and to</w:t>
            </w:r>
          </w:p>
        </w:tc>
        <w:tc>
          <w:tcPr>
            <w:tcW w:type="dxa" w:w="6090"/>
            <w:shd w:val="clear" w:color="auto" w:fill="1d4ed8"/>
          </w:tcPr>
          <w:p>
            <w:pPr>
              <w:spacing w:after="0"/>
            </w:pPr>
            <w:r>
              <w:rPr>
                <w:b/>
                <w:color w:val="FFFFFF"/>
                <w:sz w:val="18"/>
              </w:rPr>
              <w:t>What travels</w:t>
            </w:r>
          </w:p>
        </w:tc>
      </w:tr>
      <w:tr>
        <w:trPr>
          <w:cantSplit/>
        </w:trPr>
        <w:tc>
          <w:tcPr>
            <w:tcW w:type="dxa" w:w="363"/>
          </w:tcPr>
          <w:p>
            <w:pPr>
              <w:spacing w:after="0"/>
            </w:pPr>
            <w:r>
              <w:rPr>
                <w:sz w:val="18"/>
              </w:rPr>
              <w:t>1</w:t>
            </w:r>
          </w:p>
        </w:tc>
        <w:tc>
          <w:tcPr>
            <w:tcW w:type="dxa" w:w="3915"/>
          </w:tcPr>
          <w:p>
            <w:pPr>
              <w:spacing w:after="0"/>
            </w:pPr>
            <w:r>
              <w:rPr>
                <w:sz w:val="18"/>
              </w:rPr>
              <w:t>Browser and the sign-in provider</w:t>
            </w:r>
          </w:p>
        </w:tc>
        <w:tc>
          <w:tcPr>
            <w:tcW w:type="dxa" w:w="6090"/>
          </w:tcPr>
          <w:p>
            <w:pPr>
              <w:spacing w:after="0"/>
            </w:pPr>
            <w:r>
              <w:rPr>
                <w:sz w:val="18"/>
              </w:rPr>
              <w:t>The user signs in with Google or Microsoft, including Microsoft Entra ID work accounts. SPERT</w:t>
            </w:r>
            <w:r>
              <w:rPr>
                <w:sz w:val="18"/>
                <w:vertAlign w:val="superscript"/>
              </w:rPr>
              <w:t>®</w:t>
            </w:r>
            <w:r>
              <w:rPr>
                <w:sz w:val="18"/>
              </w:rPr>
              <w:t xml:space="preserve"> Suite never sees or stores a password</w:t>
            </w:r>
          </w:p>
        </w:tc>
      </w:tr>
      <w:tr>
        <w:trPr>
          <w:cantSplit/>
        </w:trPr>
        <w:tc>
          <w:tcPr>
            <w:tcW w:type="dxa" w:w="363"/>
            <w:shd w:val="clear" w:color="auto" w:fill="f1f5f9"/>
          </w:tcPr>
          <w:p>
            <w:pPr>
              <w:spacing w:after="0"/>
            </w:pPr>
            <w:r>
              <w:rPr>
                <w:sz w:val="18"/>
              </w:rPr>
              <w:t>2</w:t>
            </w:r>
          </w:p>
        </w:tc>
        <w:tc>
          <w:tcPr>
            <w:tcW w:type="dxa" w:w="3915"/>
            <w:shd w:val="clear" w:color="auto" w:fill="f1f5f9"/>
          </w:tcPr>
          <w:p>
            <w:pPr>
              <w:spacing w:after="0"/>
            </w:pPr>
            <w:r>
              <w:rPr>
                <w:sz w:val="18"/>
              </w:rPr>
              <w:t>Browser and Firebase Authentication</w:t>
            </w:r>
          </w:p>
        </w:tc>
        <w:tc>
          <w:tcPr>
            <w:tcW w:type="dxa" w:w="6090"/>
            <w:shd w:val="clear" w:color="auto" w:fill="f1f5f9"/>
          </w:tcPr>
          <w:p>
            <w:pPr>
              <w:spacing w:after="0"/>
            </w:pPr>
            <w:r>
              <w:rPr>
                <w:sz w:val="18"/>
              </w:rPr>
              <w:t>The sign-in result. The operator receives only name and email (</w:t>
            </w:r>
            <w:hyperlink r:id="rId13">
              <w:r>
                <w:rPr>
                  <w:color w:val="1d4ed8"/>
                  <w:sz w:val="18"/>
                  <w:u w:val="single"/>
                </w:rPr>
                <w:t xml:space="preserve">Privacy Policy</w:t>
              </w:r>
            </w:hyperlink>
            <w:r>
              <w:rPr>
                <w:sz w:val="18"/>
              </w:rPr>
              <w:t xml:space="preserve"> §2.1)</w:t>
            </w:r>
          </w:p>
        </w:tc>
      </w:tr>
      <w:tr>
        <w:trPr>
          <w:cantSplit/>
        </w:trPr>
        <w:tc>
          <w:tcPr>
            <w:tcW w:type="dxa" w:w="363"/>
          </w:tcPr>
          <w:p>
            <w:pPr>
              <w:spacing w:after="0"/>
            </w:pPr>
            <w:r>
              <w:rPr>
                <w:sz w:val="18"/>
              </w:rPr>
              <w:t>3</w:t>
            </w:r>
          </w:p>
        </w:tc>
        <w:tc>
          <w:tcPr>
            <w:tcW w:type="dxa" w:w="3915"/>
          </w:tcPr>
          <w:p>
            <w:pPr>
              <w:spacing w:after="0"/>
            </w:pPr>
            <w:r>
              <w:rPr>
                <w:sz w:val="18"/>
              </w:rPr>
              <w:t>Browser and Cloud Firestore</w:t>
            </w:r>
          </w:p>
        </w:tc>
        <w:tc>
          <w:tcPr>
            <w:tcW w:type="dxa" w:w="6090"/>
          </w:tcPr>
          <w:p>
            <w:pPr>
              <w:spacing w:after="0"/>
            </w:pPr>
            <w:r>
              <w:rPr>
                <w:sz w:val="18"/>
              </w:rPr>
              <w:t>Projects, settings, a shared profile (name and email) and the record of which Terms the user accepted. Firestore security rules check every read and write</w:t>
            </w:r>
          </w:p>
        </w:tc>
      </w:tr>
      <w:tr>
        <w:trPr>
          <w:cantSplit/>
        </w:trPr>
        <w:tc>
          <w:tcPr>
            <w:tcW w:type="dxa" w:w="363"/>
            <w:shd w:val="clear" w:color="auto" w:fill="f1f5f9"/>
          </w:tcPr>
          <w:p>
            <w:pPr>
              <w:spacing w:after="0"/>
            </w:pPr>
            <w:r>
              <w:rPr>
                <w:sz w:val="18"/>
              </w:rPr>
              <w:t>4</w:t>
            </w:r>
          </w:p>
        </w:tc>
        <w:tc>
          <w:tcPr>
            <w:tcW w:type="dxa" w:w="3915"/>
            <w:shd w:val="clear" w:color="auto" w:fill="f1f5f9"/>
          </w:tcPr>
          <w:p>
            <w:pPr>
              <w:spacing w:after="0"/>
            </w:pPr>
            <w:r>
              <w:rPr>
                <w:sz w:val="18"/>
              </w:rPr>
              <w:t>Browser to Cloud Functions</w:t>
            </w:r>
          </w:p>
        </w:tc>
        <w:tc>
          <w:tcPr>
            <w:tcW w:type="dxa" w:w="6090"/>
            <w:shd w:val="clear" w:color="auto" w:fill="f1f5f9"/>
          </w:tcPr>
          <w:p>
            <w:pPr>
              <w:spacing w:after="0"/>
            </w:pPr>
            <w:r>
              <w:rPr>
                <w:sz w:val="18"/>
              </w:rPr>
              <w:t>A sharing invitation: invitee email, role, project id and name</w:t>
            </w:r>
          </w:p>
        </w:tc>
      </w:tr>
      <w:tr>
        <w:trPr>
          <w:cantSplit/>
        </w:trPr>
        <w:tc>
          <w:tcPr>
            <w:tcW w:type="dxa" w:w="363"/>
          </w:tcPr>
          <w:p>
            <w:pPr>
              <w:spacing w:after="0"/>
            </w:pPr>
            <w:r>
              <w:rPr>
                <w:sz w:val="18"/>
              </w:rPr>
              <w:t>5</w:t>
            </w:r>
          </w:p>
        </w:tc>
        <w:tc>
          <w:tcPr>
            <w:tcW w:type="dxa" w:w="3915"/>
          </w:tcPr>
          <w:p>
            <w:pPr>
              <w:spacing w:after="0"/>
            </w:pPr>
            <w:r>
              <w:rPr>
                <w:sz w:val="18"/>
              </w:rPr>
              <w:t>Cloud Functions to Resend</w:t>
            </w:r>
          </w:p>
        </w:tc>
        <w:tc>
          <w:tcPr>
            <w:tcW w:type="dxa" w:w="6090"/>
          </w:tcPr>
          <w:p>
            <w:pPr>
              <w:spacing w:after="0"/>
            </w:pPr>
            <w:r>
              <w:rPr>
                <w:sz w:val="18"/>
              </w:rPr>
              <w:t>The invitation email to send</w:t>
            </w:r>
          </w:p>
        </w:tc>
      </w:tr>
      <w:tr>
        <w:trPr>
          <w:cantSplit/>
        </w:trPr>
        <w:tc>
          <w:tcPr>
            <w:tcW w:type="dxa" w:w="363"/>
            <w:shd w:val="clear" w:color="auto" w:fill="f1f5f9"/>
          </w:tcPr>
          <w:p>
            <w:pPr>
              <w:spacing w:after="0"/>
            </w:pPr>
            <w:r>
              <w:rPr>
                <w:sz w:val="18"/>
              </w:rPr>
              <w:t>6</w:t>
            </w:r>
          </w:p>
        </w:tc>
        <w:tc>
          <w:tcPr>
            <w:tcW w:type="dxa" w:w="3915"/>
            <w:shd w:val="clear" w:color="auto" w:fill="f1f5f9"/>
          </w:tcPr>
          <w:p>
            <w:pPr>
              <w:spacing w:after="0"/>
            </w:pPr>
            <w:r>
              <w:rPr>
                <w:sz w:val="18"/>
              </w:rPr>
              <w:t>Resend to the invitee's mailbox</w:t>
            </w:r>
          </w:p>
        </w:tc>
        <w:tc>
          <w:tcPr>
            <w:tcW w:type="dxa" w:w="6090"/>
            <w:shd w:val="clear" w:color="auto" w:fill="f1f5f9"/>
          </w:tcPr>
          <w:p>
            <w:pPr>
              <w:spacing w:after="0"/>
            </w:pPr>
            <w:r>
              <w:rPr>
                <w:sz w:val="18"/>
              </w:rPr>
              <w:t>An email with a link to the shared project</w:t>
            </w:r>
          </w:p>
        </w:tc>
      </w:tr>
      <w:tr>
        <w:trPr>
          <w:cantSplit/>
        </w:trPr>
        <w:tc>
          <w:tcPr>
            <w:tcW w:type="dxa" w:w="363"/>
          </w:tcPr>
          <w:p>
            <w:pPr>
              <w:spacing w:after="0"/>
            </w:pPr>
            <w:r>
              <w:rPr>
                <w:sz w:val="18"/>
              </w:rPr>
              <w:t>7</w:t>
            </w:r>
          </w:p>
        </w:tc>
        <w:tc>
          <w:tcPr>
            <w:tcW w:type="dxa" w:w="3915"/>
          </w:tcPr>
          <w:p>
            <w:pPr>
              <w:spacing w:after="0"/>
            </w:pPr>
            <w:r>
              <w:rPr>
                <w:sz w:val="18"/>
              </w:rPr>
              <w:t>Collaborator's browser and Cloud Firestore</w:t>
            </w:r>
          </w:p>
        </w:tc>
        <w:tc>
          <w:tcPr>
            <w:tcW w:type="dxa" w:w="6090"/>
          </w:tcPr>
          <w:p>
            <w:pPr>
              <w:spacing w:after="0"/>
            </w:pPr>
            <w:r>
              <w:rPr>
                <w:sz w:val="18"/>
              </w:rPr>
              <w:t>The shared project, limited to the role the owner chose (owner, editor or viewer)</w:t>
            </w:r>
          </w:p>
        </w:tc>
      </w:tr>
    </w:tbl>
    <w:p>
      <w:pPr>
        <w:spacing w:after="40"/>
      </w:pPr>
    </w:p>
    <w:p>
      <w:r>
        <w:rPr>
          <w:b/>
        </w:rPr>
        <w:t>Where cloud data lives.</w:t>
      </w:r>
      <w:r>
        <w:rPr/>
        <w:t xml:space="preserve"> The </w:t>
      </w:r>
      <w:hyperlink r:id="rId13">
        <w:r>
          <w:rPr>
            <w:color w:val="1d4ed8"/>
            <w:u w:val="single"/>
          </w:rPr>
          <w:t xml:space="preserve">Privacy Policy</w:t>
        </w:r>
      </w:hyperlink>
      <w:r>
        <w:rPr/>
        <w:t xml:space="preserve"> (§9) says cloud storage data and Connect AI relay data "are currently stored at rest in the United States (Google Cloud Firestore multi-region nam5)", and that the operator "will give notice by updating this Policy before changing that location". Cloud Functions run in Google's </w:t>
      </w:r>
      <w:r>
        <w:rPr>
          <w:rFonts w:ascii="Consolas" w:hAnsi="Consolas"/>
          <w:sz w:val="18"/>
        </w:rPr>
        <w:t>us-central1</w:t>
      </w:r>
      <w:r>
        <w:rPr/>
        <w:t xml:space="preserve"> region. On backups, §6 says: "Copies may remain in the Operator's database backups until they expire: up to 98 days for daily backups and up to 7 days for point-in-time recovery data. Backups are stored in the same United States location as the live database." On logs, §2.3 says operational logs are "retained for 30 days in Google Cloud Logging, whose default storage location is not restricted to a specific country or region."</w:t>
      </w:r>
    </w:p>
    <w:p>
      <w:r>
        <w:rPr>
          <w:b/>
        </w:rPr>
        <w:t>Who can see a project.</w:t>
      </w:r>
      <w:r>
        <w:rPr/>
        <w:t xml:space="preserve"> Firestore security rules let a user list only the projects they are a member of, read a project only if they are a member, and delete it only if they own it; viewers cannot edit, and each user's settings are visible to that user only. The rules are kept in one file in source control, deployed automatically when a change is merged, and compared with the deployed copy every six hours to catch drift.</w:t>
      </w:r>
    </w:p>
    <w:p>
      <w:r>
        <w:rPr>
          <w:b/>
        </w:rPr>
        <w:t>What stays on the device.</w:t>
      </w:r>
      <w:r>
        <w:rPr/>
        <w:t xml:space="preserve"> The Firebase client in every app keeps cloud data in memory only, not in the browser's on-disk database; Firebase keeps sign-in state in the browser (IndexedDB). Switching back to local-only use is always possible (</w:t>
      </w:r>
      <w:hyperlink r:id="rId13">
        <w:r>
          <w:rPr>
            <w:color w:val="1d4ed8"/>
            <w:u w:val="single"/>
          </w:rPr>
          <w:t xml:space="preserve">Privacy Policy</w:t>
        </w:r>
      </w:hyperlink>
      <w:r>
        <w:rPr/>
        <w:t xml:space="preserve"> §7.4), but it does not delete data already saved to the cloud.</w:t>
      </w:r>
    </w:p>
    <w:p>
      <w:r>
        <w:rPr>
          <w:b/>
        </w:rPr>
        <w:t>Deletion.</w:t>
      </w:r>
      <w:r>
        <w:rPr/>
        <w:t xml:space="preserve"> The </w:t>
      </w:r>
      <w:hyperlink r:id="rId13">
        <w:r>
          <w:rPr>
            <w:color w:val="1d4ed8"/>
            <w:u w:val="single"/>
          </w:rPr>
          <w:t xml:space="preserve">Privacy Policy</w:t>
        </w:r>
      </w:hyperlink>
      <w:r>
        <w:rPr/>
        <w:t xml:space="preserve"> (§6) says deletion is done by the operator on request, "within a commercially reasonable period, not to exceed thirty (30) days under normal circumstances." There is no self-service delete-account control. Invitations expire 30 days after they are sent (§2.6).</w:t>
      </w:r>
    </w:p>
    <w:p>
      <w:pPr>
        <w:pStyle w:val="Heading2"/>
      </w:pPr>
      <w:r>
        <w:rPr/>
        <w:t>4. Tier 3: Connect AI</w:t>
      </w:r>
    </w:p>
    <w:p>
      <w:r>
        <w:rPr/>
        <w:t xml:space="preserve">Connect AI lets a user connect an AI assistant they already use, such as </w:t>
      </w:r>
      <w:r>
        <w:rPr>
          <w:highlight w:val="yellow"/>
        </w:rPr>
        <w:t>[AI PLATFORM]</w:t>
      </w:r>
      <w:r>
        <w:rPr/>
        <w:t>, to one open project, using the Model Context Protocol (MCP). None of the apps has AI built in, and Connect AI is off unless the user starts it. Only three apps offer it: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4153"/>
        <w:gridCol w:w="3082"/>
        <w:gridCol w:w="3133"/>
      </w:tblGrid>
      <w:tr>
        <w:trPr>
          <w:cantSplit/>
          <w:tblHeader w:val="true"/>
        </w:trPr>
        <w:tc>
          <w:tcPr>
            <w:tcW w:type="dxa" w:w="4153"/>
            <w:shd w:val="clear" w:color="auto" w:fill="1d4ed8"/>
          </w:tcPr>
          <w:p>
            <w:pPr>
              <w:spacing w:after="0"/>
            </w:pPr>
            <w:r>
              <w:rPr>
                <w:b/>
                <w:color w:val="FFFFFF"/>
                <w:sz w:val="18"/>
              </w:rPr>
              <w:t>App</w:t>
            </w:r>
          </w:p>
        </w:tc>
        <w:tc>
          <w:tcPr>
            <w:tcW w:type="dxa" w:w="3082"/>
            <w:shd w:val="clear" w:color="auto" w:fill="1d4ed8"/>
          </w:tcPr>
          <w:p>
            <w:pPr>
              <w:spacing w:after="0"/>
            </w:pPr>
            <w:r>
              <w:rPr>
                <w:b/>
                <w:color w:val="FFFFFF"/>
                <w:sz w:val="18"/>
              </w:rPr>
              <w:t>Write Mode (AI edits the project)</w:t>
            </w:r>
          </w:p>
        </w:tc>
        <w:tc>
          <w:tcPr>
            <w:tcW w:type="dxa" w:w="3133"/>
            <w:shd w:val="clear" w:color="auto" w:fill="1d4ed8"/>
          </w:tcPr>
          <w:p>
            <w:pPr>
              <w:spacing w:after="0"/>
            </w:pPr>
            <w:r>
              <w:rPr>
                <w:b/>
                <w:color w:val="FFFFFF"/>
                <w:sz w:val="18"/>
              </w:rPr>
              <w:t>Read Mode (AI reads the project)</w:t>
            </w:r>
          </w:p>
        </w:tc>
      </w:tr>
      <w:tr>
        <w:trPr>
          <w:cantSplit/>
        </w:trPr>
        <w:tc>
          <w:tcPr>
            <w:tcW w:type="dxa" w:w="4153"/>
          </w:tcPr>
          <w:p>
            <w:pPr>
              <w:spacing w:after="0"/>
            </w:pPr>
            <w:r>
              <w:rPr>
                <w:sz w:val="18"/>
              </w:rPr>
              <w:t>SPERT</w:t>
            </w:r>
            <w:r>
              <w:rPr>
                <w:sz w:val="18"/>
                <w:vertAlign w:val="superscript"/>
              </w:rPr>
              <w:t>®</w:t>
            </w:r>
            <w:r>
              <w:rPr>
                <w:sz w:val="18"/>
              </w:rPr>
              <w:t xml:space="preserve"> Scheduler</w:t>
            </w:r>
          </w:p>
        </w:tc>
        <w:tc>
          <w:tcPr>
            <w:tcW w:type="dxa" w:w="3082"/>
          </w:tcPr>
          <w:p>
            <w:pPr>
              <w:spacing w:after="0"/>
            </w:pPr>
            <w:r>
              <w:rPr>
                <w:sz w:val="18"/>
              </w:rPr>
              <w:t>Offered; required to connect</w:t>
            </w:r>
          </w:p>
        </w:tc>
        <w:tc>
          <w:tcPr>
            <w:tcW w:type="dxa" w:w="3133"/>
          </w:tcPr>
          <w:p>
            <w:pPr>
              <w:spacing w:after="0"/>
            </w:pPr>
            <w:r>
              <w:rPr>
                <w:sz w:val="18"/>
              </w:rPr>
              <w:t>Offered; optional</w:t>
            </w:r>
          </w:p>
        </w:tc>
      </w:tr>
      <w:tr>
        <w:trPr>
          <w:cantSplit/>
        </w:trPr>
        <w:tc>
          <w:tcPr>
            <w:tcW w:type="dxa" w:w="4153"/>
            <w:shd w:val="clear" w:color="auto" w:fill="f1f5f9"/>
          </w:tcPr>
          <w:p>
            <w:pPr>
              <w:spacing w:after="0"/>
            </w:pPr>
            <w:r>
              <w:rPr>
                <w:sz w:val="18"/>
              </w:rPr>
              <w:t>SPERT</w:t>
            </w:r>
            <w:r>
              <w:rPr>
                <w:sz w:val="18"/>
                <w:vertAlign w:val="superscript"/>
              </w:rPr>
              <w:t>®</w:t>
            </w:r>
            <w:r>
              <w:rPr>
                <w:sz w:val="18"/>
              </w:rPr>
              <w:t xml:space="preserve"> Story Map</w:t>
            </w:r>
          </w:p>
        </w:tc>
        <w:tc>
          <w:tcPr>
            <w:tcW w:type="dxa" w:w="3082"/>
            <w:shd w:val="clear" w:color="auto" w:fill="f1f5f9"/>
          </w:tcPr>
          <w:p>
            <w:pPr>
              <w:spacing w:after="0"/>
            </w:pPr>
            <w:r>
              <w:rPr>
                <w:sz w:val="18"/>
              </w:rPr>
              <w:t>Offered; required to connect</w:t>
            </w:r>
          </w:p>
        </w:tc>
        <w:tc>
          <w:tcPr>
            <w:tcW w:type="dxa" w:w="3133"/>
            <w:shd w:val="clear" w:color="auto" w:fill="f1f5f9"/>
          </w:tcPr>
          <w:p>
            <w:pPr>
              <w:spacing w:after="0"/>
            </w:pPr>
            <w:r>
              <w:rPr>
                <w:sz w:val="18"/>
              </w:rPr>
              <w:t>Offered; optional</w:t>
            </w:r>
          </w:p>
        </w:tc>
      </w:tr>
      <w:tr>
        <w:trPr>
          <w:cantSplit/>
        </w:trPr>
        <w:tc>
          <w:tcPr>
            <w:tcW w:type="dxa" w:w="4153"/>
          </w:tcPr>
          <w:p>
            <w:pPr>
              <w:spacing w:after="0"/>
            </w:pPr>
            <w:r>
              <w:rPr>
                <w:sz w:val="18"/>
              </w:rPr>
              <w:t>SPERT</w:t>
            </w:r>
            <w:r>
              <w:rPr>
                <w:sz w:val="18"/>
                <w:vertAlign w:val="superscript"/>
              </w:rPr>
              <w:t>®</w:t>
            </w:r>
            <w:r>
              <w:rPr>
                <w:sz w:val="18"/>
              </w:rPr>
              <w:t xml:space="preserve"> Forecaster</w:t>
            </w:r>
          </w:p>
        </w:tc>
        <w:tc>
          <w:tcPr>
            <w:tcW w:type="dxa" w:w="3082"/>
          </w:tcPr>
          <w:p>
            <w:pPr>
              <w:spacing w:after="0"/>
            </w:pPr>
            <w:r>
              <w:rPr>
                <w:sz w:val="18"/>
              </w:rPr>
              <w:t>Not offered: read-only by design</w:t>
            </w:r>
          </w:p>
        </w:tc>
        <w:tc>
          <w:tcPr>
            <w:tcW w:type="dxa" w:w="3133"/>
          </w:tcPr>
          <w:p>
            <w:pPr>
              <w:spacing w:after="0"/>
            </w:pPr>
            <w:r>
              <w:rPr>
                <w:sz w:val="18"/>
              </w:rPr>
              <w:t>Offered; the only permission asked</w:t>
            </w:r>
          </w:p>
        </w:tc>
      </w:tr>
      <w:tr>
        <w:trPr>
          <w:cantSplit/>
        </w:trPr>
        <w:tc>
          <w:tcPr>
            <w:tcW w:type="dxa" w:w="4153"/>
            <w:shd w:val="clear" w:color="auto" w:fill="f1f5f9"/>
          </w:tcPr>
          <w:p>
            <w:pPr>
              <w:spacing w:after="0"/>
            </w:pPr>
            <w:r>
              <w:rPr>
                <w:sz w:val="18"/>
              </w:rPr>
              <w:t>SPERT</w:t>
            </w:r>
            <w:r>
              <w:rPr>
                <w:sz w:val="18"/>
                <w:vertAlign w:val="superscript"/>
              </w:rPr>
              <w:t>®</w:t>
            </w:r>
            <w:r>
              <w:rPr>
                <w:sz w:val="18"/>
              </w:rPr>
              <w:t xml:space="preserve"> CFD, GanttApp™, MyScrumBudget™</w:t>
            </w:r>
          </w:p>
        </w:tc>
        <w:tc>
          <w:tcPr>
            <w:tcW w:type="dxa" w:w="3082"/>
            <w:shd w:val="clear" w:color="auto" w:fill="f1f5f9"/>
          </w:tcPr>
          <w:p>
            <w:pPr>
              <w:spacing w:after="0"/>
            </w:pPr>
            <w:r>
              <w:rPr>
                <w:sz w:val="18"/>
              </w:rPr>
              <w:t>Not offered</w:t>
            </w:r>
          </w:p>
        </w:tc>
        <w:tc>
          <w:tcPr>
            <w:tcW w:type="dxa" w:w="3133"/>
            <w:shd w:val="clear" w:color="auto" w:fill="f1f5f9"/>
          </w:tcPr>
          <w:p>
            <w:pPr>
              <w:spacing w:after="0"/>
            </w:pPr>
            <w:r>
              <w:rPr>
                <w:sz w:val="18"/>
              </w:rPr>
              <w:t>Not offered</w:t>
            </w:r>
          </w:p>
        </w:tc>
      </w:tr>
    </w:tbl>
    <w:p>
      <w:pPr>
        <w:spacing w:after="40"/>
      </w:pPr>
    </w:p>
    <w:p>
      <w:r>
        <w:rPr/>
        <w:t xml:space="preserve">Source: </w:t>
      </w:r>
      <w:hyperlink r:id="rId14">
        <w:r>
          <w:rPr>
            <w:color w:val="1d4ed8"/>
            <w:u w:val="single"/>
          </w:rPr>
          <w:t xml:space="preserve">AI Privacy Notice</w:t>
        </w:r>
      </w:hyperlink>
      <w:r>
        <w:rPr/>
        <w:t xml:space="preserve"> §2.3, which matches the code reviewed.</w:t>
      </w:r>
    </w:p>
    <w:p>
      <w:pPr>
        <w:keepNext/>
        <w:spacing w:after="40"/>
        <w:jc w:val="center"/>
      </w:pPr>
      <w:r>
        <w:drawing>
          <wp:inline xmlns:a="http://schemas.openxmlformats.org/drawingml/2006/main" xmlns:pic="http://schemas.openxmlformats.org/drawingml/2006/picture">
            <wp:extent cx="6583680" cy="5069434"/>
            <wp:docPr id="5" name="Picture 5"/>
            <wp:cNvGraphicFramePr>
              <a:graphicFrameLocks noChangeAspect="1"/>
            </wp:cNvGraphicFramePr>
            <a:graphic>
              <a:graphicData uri="http://schemas.openxmlformats.org/drawingml/2006/picture">
                <pic:pic>
                  <pic:nvPicPr>
                    <pic:cNvPr id="0" name="arch-connect-ai.png"/>
                    <pic:cNvPicPr/>
                  </pic:nvPicPr>
                  <pic:blipFill>
                    <a:blip r:embed="rId26"/>
                    <a:stretch>
                      <a:fillRect/>
                    </a:stretch>
                  </pic:blipFill>
                  <pic:spPr>
                    <a:xfrm>
                      <a:off x="0" y="0"/>
                      <a:ext cx="6583680" cy="5069434"/>
                    </a:xfrm>
                    <a:prstGeom prst="rect"/>
                  </pic:spPr>
                </pic:pic>
              </a:graphicData>
            </a:graphic>
          </wp:inline>
        </w:drawing>
      </w:r>
    </w:p>
    <w:p>
      <w:pPr>
        <w:spacing w:after="200"/>
        <w:jc w:val="center"/>
      </w:pPr>
      <w:r>
        <w:rPr>
          <w:i/>
          <w:color w:val="475569"/>
          <w:sz w:val="16"/>
        </w:rPr>
        <w:t>Figure 4. Tier 3 data flows. The orange dashed flow happens only when the user turns Read Mode on.</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51"/>
        <w:gridCol w:w="4139"/>
        <w:gridCol w:w="5878"/>
      </w:tblGrid>
      <w:tr>
        <w:trPr>
          <w:cantSplit/>
          <w:tblHeader w:val="true"/>
        </w:trPr>
        <w:tc>
          <w:tcPr>
            <w:tcW w:type="dxa" w:w="351"/>
            <w:shd w:val="clear" w:color="auto" w:fill="1d4ed8"/>
          </w:tcPr>
          <w:p>
            <w:pPr>
              <w:spacing w:after="0"/>
            </w:pPr>
            <w:r>
              <w:rPr>
                <w:b/>
                <w:color w:val="FFFFFF"/>
                <w:sz w:val="18"/>
              </w:rPr>
              <w:t>#</w:t>
            </w:r>
          </w:p>
        </w:tc>
        <w:tc>
          <w:tcPr>
            <w:tcW w:type="dxa" w:w="4139"/>
            <w:shd w:val="clear" w:color="auto" w:fill="1d4ed8"/>
          </w:tcPr>
          <w:p>
            <w:pPr>
              <w:spacing w:after="0"/>
            </w:pPr>
            <w:r>
              <w:rPr>
                <w:b/>
                <w:color w:val="FFFFFF"/>
                <w:sz w:val="18"/>
              </w:rPr>
              <w:t>From and to</w:t>
            </w:r>
          </w:p>
        </w:tc>
        <w:tc>
          <w:tcPr>
            <w:tcW w:type="dxa" w:w="5878"/>
            <w:shd w:val="clear" w:color="auto" w:fill="1d4ed8"/>
          </w:tcPr>
          <w:p>
            <w:pPr>
              <w:spacing w:after="0"/>
            </w:pPr>
            <w:r>
              <w:rPr>
                <w:b/>
                <w:color w:val="FFFFFF"/>
                <w:sz w:val="18"/>
              </w:rPr>
              <w:t>What travels</w:t>
            </w:r>
          </w:p>
        </w:tc>
      </w:tr>
      <w:tr>
        <w:trPr>
          <w:cantSplit/>
        </w:trPr>
        <w:tc>
          <w:tcPr>
            <w:tcW w:type="dxa" w:w="351"/>
          </w:tcPr>
          <w:p>
            <w:pPr>
              <w:spacing w:after="0"/>
            </w:pPr>
            <w:r>
              <w:rPr>
                <w:sz w:val="18"/>
              </w:rPr>
              <w:t>1</w:t>
            </w:r>
          </w:p>
        </w:tc>
        <w:tc>
          <w:tcPr>
            <w:tcW w:type="dxa" w:w="4139"/>
          </w:tcPr>
          <w:p>
            <w:pPr>
              <w:spacing w:after="0"/>
            </w:pPr>
            <w:r>
              <w:rPr>
                <w:sz w:val="18"/>
              </w:rPr>
              <w:t>Browser to the relay</w:t>
            </w:r>
          </w:p>
        </w:tc>
        <w:tc>
          <w:tcPr>
            <w:tcW w:type="dxa" w:w="5878"/>
          </w:tcPr>
          <w:p>
            <w:pPr>
              <w:spacing w:after="0"/>
            </w:pPr>
            <w:r>
              <w:rPr>
                <w:sz w:val="18"/>
              </w:rPr>
              <w:t>A new session record: a random identifier "with no connection to your name, email, or account" (</w:t>
            </w:r>
            <w:hyperlink r:id="rId14">
              <w:r>
                <w:rPr>
                  <w:color w:val="1d4ed8"/>
                  <w:sz w:val="18"/>
                  <w:u w:val="single"/>
                </w:rPr>
                <w:t xml:space="preserve">AI Privacy Notice</w:t>
              </w:r>
            </w:hyperlink>
            <w:r>
              <w:rPr>
                <w:sz w:val="18"/>
              </w:rPr>
              <w:t xml:space="preserve"> §4), plus consent and activity timestamps</w:t>
            </w:r>
          </w:p>
        </w:tc>
      </w:tr>
      <w:tr>
        <w:trPr>
          <w:cantSplit/>
        </w:trPr>
        <w:tc>
          <w:tcPr>
            <w:tcW w:type="dxa" w:w="351"/>
            <w:shd w:val="clear" w:color="auto" w:fill="f1f5f9"/>
          </w:tcPr>
          <w:p>
            <w:pPr>
              <w:spacing w:after="0"/>
            </w:pPr>
            <w:r>
              <w:rPr>
                <w:sz w:val="18"/>
              </w:rPr>
              <w:t>2</w:t>
            </w:r>
          </w:p>
        </w:tc>
        <w:tc>
          <w:tcPr>
            <w:tcW w:type="dxa" w:w="4139"/>
            <w:shd w:val="clear" w:color="auto" w:fill="f1f5f9"/>
          </w:tcPr>
          <w:p>
            <w:pPr>
              <w:spacing w:after="0"/>
            </w:pPr>
            <w:r>
              <w:rPr>
                <w:sz w:val="18"/>
              </w:rPr>
              <w:t>Browser and a Cloud Function</w:t>
            </w:r>
          </w:p>
        </w:tc>
        <w:tc>
          <w:tcPr>
            <w:tcW w:type="dxa" w:w="5878"/>
            <w:shd w:val="clear" w:color="auto" w:fill="f1f5f9"/>
          </w:tcPr>
          <w:p>
            <w:pPr>
              <w:spacing w:after="0"/>
            </w:pPr>
            <w:r>
              <w:rPr>
                <w:sz w:val="18"/>
              </w:rPr>
              <w:t>A request for a pairing code (one word plus 10 digits, valid 15 minutes, closed about a minute after the AI first uses it); at the end, a request to tear the session down</w:t>
            </w:r>
          </w:p>
        </w:tc>
      </w:tr>
      <w:tr>
        <w:trPr>
          <w:cantSplit/>
        </w:trPr>
        <w:tc>
          <w:tcPr>
            <w:tcW w:type="dxa" w:w="351"/>
          </w:tcPr>
          <w:p>
            <w:pPr>
              <w:spacing w:after="0"/>
            </w:pPr>
            <w:r>
              <w:rPr>
                <w:sz w:val="18"/>
              </w:rPr>
              <w:t>3</w:t>
            </w:r>
          </w:p>
        </w:tc>
        <w:tc>
          <w:tcPr>
            <w:tcW w:type="dxa" w:w="4139"/>
          </w:tcPr>
          <w:p>
            <w:pPr>
              <w:spacing w:after="0"/>
            </w:pPr>
            <w:r>
              <w:rPr>
                <w:sz w:val="18"/>
              </w:rPr>
              <w:t>The user, from the app to the AI chat</w:t>
            </w:r>
          </w:p>
        </w:tc>
        <w:tc>
          <w:tcPr>
            <w:tcW w:type="dxa" w:w="5878"/>
          </w:tcPr>
          <w:p>
            <w:pPr>
              <w:spacing w:after="0"/>
            </w:pPr>
            <w:r>
              <w:rPr>
                <w:sz w:val="18"/>
              </w:rPr>
              <w:t>The user copies the pairing code into their AI assistant</w:t>
            </w:r>
          </w:p>
        </w:tc>
      </w:tr>
      <w:tr>
        <w:trPr>
          <w:cantSplit/>
        </w:trPr>
        <w:tc>
          <w:tcPr>
            <w:tcW w:type="dxa" w:w="351"/>
            <w:shd w:val="clear" w:color="auto" w:fill="f1f5f9"/>
          </w:tcPr>
          <w:p>
            <w:pPr>
              <w:spacing w:after="0"/>
            </w:pPr>
            <w:r>
              <w:rPr>
                <w:sz w:val="18"/>
              </w:rPr>
              <w:t>4</w:t>
            </w:r>
          </w:p>
        </w:tc>
        <w:tc>
          <w:tcPr>
            <w:tcW w:type="dxa" w:w="4139"/>
            <w:shd w:val="clear" w:color="auto" w:fill="f1f5f9"/>
          </w:tcPr>
          <w:p>
            <w:pPr>
              <w:spacing w:after="0"/>
            </w:pPr>
            <w:r>
              <w:rPr>
                <w:sz w:val="18"/>
              </w:rPr>
              <w:t>AI chat and the AI provider</w:t>
            </w:r>
          </w:p>
        </w:tc>
        <w:tc>
          <w:tcPr>
            <w:tcW w:type="dxa" w:w="5878"/>
            <w:shd w:val="clear" w:color="auto" w:fill="f1f5f9"/>
          </w:tcPr>
          <w:p>
            <w:pPr>
              <w:spacing w:after="0"/>
            </w:pPr>
            <w:r>
              <w:rPr>
                <w:sz w:val="18"/>
              </w:rPr>
              <w:t>Everything the user types, plus the AI's replies. This goes to the AI provider whatever SPERT</w:t>
            </w:r>
            <w:r>
              <w:rPr>
                <w:sz w:val="18"/>
                <w:vertAlign w:val="superscript"/>
              </w:rPr>
              <w:t>®</w:t>
            </w:r>
            <w:r>
              <w:rPr>
                <w:sz w:val="18"/>
              </w:rPr>
              <w:t xml:space="preserve"> Suite's settings are</w:t>
            </w:r>
          </w:p>
        </w:tc>
      </w:tr>
      <w:tr>
        <w:trPr>
          <w:cantSplit/>
        </w:trPr>
        <w:tc>
          <w:tcPr>
            <w:tcW w:type="dxa" w:w="351"/>
          </w:tcPr>
          <w:p>
            <w:pPr>
              <w:spacing w:after="0"/>
            </w:pPr>
            <w:r>
              <w:rPr>
                <w:sz w:val="18"/>
              </w:rPr>
              <w:t>5</w:t>
            </w:r>
          </w:p>
        </w:tc>
        <w:tc>
          <w:tcPr>
            <w:tcW w:type="dxa" w:w="4139"/>
          </w:tcPr>
          <w:p>
            <w:pPr>
              <w:spacing w:after="0"/>
            </w:pPr>
            <w:r>
              <w:rPr>
                <w:sz w:val="18"/>
              </w:rPr>
              <w:t>AI provider's servers and the Connect AI server</w:t>
            </w:r>
          </w:p>
        </w:tc>
        <w:tc>
          <w:tcPr>
            <w:tcW w:type="dxa" w:w="5878"/>
          </w:tcPr>
          <w:p>
            <w:pPr>
              <w:spacing w:after="0"/>
            </w:pPr>
            <w:r>
              <w:rPr>
                <w:sz w:val="18"/>
              </w:rPr>
              <w:t xml:space="preserve">MCP tool calls over HTTPS to </w:t>
            </w:r>
            <w:r>
              <w:rPr>
                <w:rFonts w:ascii="Consolas" w:hAnsi="Consolas"/>
                <w:sz w:val="16"/>
              </w:rPr>
              <w:t>https://mcp.spertsuite.com</w:t>
            </w:r>
            <w:r>
              <w:rPr>
                <w:sz w:val="18"/>
              </w:rPr>
              <w:t xml:space="preserve">, a Google Cloud Function (second generation, running on Cloud Run) in </w:t>
            </w:r>
            <w:r>
              <w:rPr>
                <w:rFonts w:ascii="Consolas" w:hAnsi="Consolas"/>
                <w:sz w:val="16"/>
              </w:rPr>
              <w:t>us-central1</w:t>
            </w:r>
            <w:r>
              <w:rPr>
                <w:sz w:val="18"/>
              </w:rPr>
              <w:t>; and the tool results, which include the project snapshot when Read Mode is on</w:t>
            </w:r>
          </w:p>
        </w:tc>
      </w:tr>
      <w:tr>
        <w:trPr>
          <w:cantSplit/>
        </w:trPr>
        <w:tc>
          <w:tcPr>
            <w:tcW w:type="dxa" w:w="351"/>
            <w:shd w:val="clear" w:color="auto" w:fill="f1f5f9"/>
          </w:tcPr>
          <w:p>
            <w:pPr>
              <w:spacing w:after="0"/>
            </w:pPr>
            <w:r>
              <w:rPr>
                <w:sz w:val="18"/>
              </w:rPr>
              <w:t>6</w:t>
            </w:r>
          </w:p>
        </w:tc>
        <w:tc>
          <w:tcPr>
            <w:tcW w:type="dxa" w:w="4139"/>
            <w:shd w:val="clear" w:color="auto" w:fill="f1f5f9"/>
          </w:tcPr>
          <w:p>
            <w:pPr>
              <w:spacing w:after="0"/>
            </w:pPr>
            <w:r>
              <w:rPr>
                <w:sz w:val="18"/>
              </w:rPr>
              <w:t>Browser to the relay (Read Mode only)</w:t>
            </w:r>
          </w:p>
        </w:tc>
        <w:tc>
          <w:tcPr>
            <w:tcW w:type="dxa" w:w="5878"/>
            <w:shd w:val="clear" w:color="auto" w:fill="f1f5f9"/>
          </w:tcPr>
          <w:p>
            <w:pPr>
              <w:spacing w:after="0"/>
            </w:pPr>
            <w:r>
              <w:rPr>
                <w:sz w:val="18"/>
              </w:rPr>
              <w:t xml:space="preserve">A snapshot of the one open project, refreshed after edits. The </w:t>
            </w:r>
            <w:hyperlink r:id="rId14">
              <w:r>
                <w:rPr>
                  <w:color w:val="1d4ed8"/>
                  <w:sz w:val="18"/>
                  <w:u w:val="single"/>
                </w:rPr>
                <w:t xml:space="preserve">AI Privacy Notice</w:t>
              </w:r>
            </w:hyperlink>
            <w:r>
              <w:rPr>
                <w:sz w:val="18"/>
              </w:rPr>
              <w:t xml:space="preserve"> (§2.2) is explicit: "Read Mode uploads a copy of your open project regardless of your storage setting."</w:t>
            </w:r>
          </w:p>
        </w:tc>
      </w:tr>
      <w:tr>
        <w:trPr>
          <w:cantSplit/>
        </w:trPr>
        <w:tc>
          <w:tcPr>
            <w:tcW w:type="dxa" w:w="351"/>
          </w:tcPr>
          <w:p>
            <w:pPr>
              <w:spacing w:after="0"/>
            </w:pPr>
            <w:r>
              <w:rPr>
                <w:sz w:val="18"/>
              </w:rPr>
              <w:t>7</w:t>
            </w:r>
          </w:p>
        </w:tc>
        <w:tc>
          <w:tcPr>
            <w:tcW w:type="dxa" w:w="4139"/>
          </w:tcPr>
          <w:p>
            <w:pPr>
              <w:spacing w:after="0"/>
            </w:pPr>
            <w:r>
              <w:rPr>
                <w:sz w:val="18"/>
              </w:rPr>
              <w:t>Connect AI server and the relay</w:t>
            </w:r>
          </w:p>
        </w:tc>
        <w:tc>
          <w:tcPr>
            <w:tcW w:type="dxa" w:w="5878"/>
          </w:tcPr>
          <w:p>
            <w:pPr>
              <w:spacing w:after="0"/>
            </w:pPr>
            <w:r>
              <w:rPr>
                <w:sz w:val="18"/>
              </w:rPr>
              <w:t>The server reads the snapshot (Read Mode) and writes the AI's edits as operations (Write Mode)</w:t>
            </w:r>
          </w:p>
        </w:tc>
      </w:tr>
      <w:tr>
        <w:trPr>
          <w:cantSplit/>
        </w:trPr>
        <w:tc>
          <w:tcPr>
            <w:tcW w:type="dxa" w:w="351"/>
            <w:shd w:val="clear" w:color="auto" w:fill="f1f5f9"/>
          </w:tcPr>
          <w:p>
            <w:pPr>
              <w:spacing w:after="0"/>
            </w:pPr>
            <w:r>
              <w:rPr>
                <w:sz w:val="18"/>
              </w:rPr>
              <w:t>8</w:t>
            </w:r>
          </w:p>
        </w:tc>
        <w:tc>
          <w:tcPr>
            <w:tcW w:type="dxa" w:w="4139"/>
            <w:shd w:val="clear" w:color="auto" w:fill="f1f5f9"/>
          </w:tcPr>
          <w:p>
            <w:pPr>
              <w:spacing w:after="0"/>
            </w:pPr>
            <w:r>
              <w:rPr>
                <w:sz w:val="18"/>
              </w:rPr>
              <w:t>Relay to browser</w:t>
            </w:r>
          </w:p>
        </w:tc>
        <w:tc>
          <w:tcPr>
            <w:tcW w:type="dxa" w:w="5878"/>
            <w:shd w:val="clear" w:color="auto" w:fill="f1f5f9"/>
          </w:tcPr>
          <w:p>
            <w:pPr>
              <w:spacing w:after="0"/>
            </w:pPr>
            <w:r>
              <w:rPr>
                <w:sz w:val="18"/>
              </w:rPr>
              <w:t>The AI's edits, which the browser applies to the open project. SPERT</w:t>
            </w:r>
            <w:r>
              <w:rPr>
                <w:sz w:val="18"/>
                <w:vertAlign w:val="superscript"/>
              </w:rPr>
              <w:t>®</w:t>
            </w:r>
            <w:r>
              <w:rPr>
                <w:sz w:val="18"/>
              </w:rPr>
              <w:t xml:space="preserve"> Scheduler first checks each one against bounds</w:t>
            </w:r>
          </w:p>
        </w:tc>
      </w:tr>
    </w:tbl>
    <w:p>
      <w:pPr>
        <w:spacing w:after="40"/>
      </w:pPr>
    </w:p>
    <w:p>
      <w:r>
        <w:rPr>
          <w:b/>
        </w:rPr>
        <w:t>What the AI provider receives is outside SPERT</w:t>
      </w:r>
      <w:r>
        <w:rPr>
          <w:b/>
          <w:vertAlign w:val="superscript"/>
        </w:rPr>
        <w:t>®</w:t>
      </w:r>
      <w:r>
        <w:rPr>
          <w:b/>
        </w:rPr>
        <w:t xml:space="preserve"> Suite's control.</w:t>
      </w:r>
      <w:r>
        <w:rPr/>
        <w:t xml:space="preserve"> The </w:t>
      </w:r>
      <w:hyperlink r:id="rId13">
        <w:r>
          <w:rPr>
            <w:color w:val="1d4ed8"/>
            <w:u w:val="single"/>
          </w:rPr>
          <w:t xml:space="preserve">Privacy Policy</w:t>
        </w:r>
      </w:hyperlink>
      <w:r>
        <w:rPr/>
        <w:t xml:space="preserve"> (§4.5) says the provider's "own terms of service and privacy policy govern their handling of content transmitted to them." The AI provider is chosen by the user and is not one of the operator's service providers.</w:t>
      </w:r>
    </w:p>
    <w:p>
      <w:r>
        <w:rPr>
          <w:b/>
        </w:rPr>
        <w:t>What the AI can change.</w:t>
      </w:r>
      <w:r>
        <w:rPr/>
        <w:t xml:space="preserve"> Each session is bound to one app; the server refuses tool calls meant for a different app. The counts below are from the Connect AI server's source (</w:t>
      </w:r>
      <w:hyperlink r:id="rId11">
        <w:r>
          <w:rPr>
            <w:color w:val="1d4ed8"/>
            <w:u w:val="single"/>
          </w:rPr>
          <w:t xml:space="preserve">spert-landing</w:t>
        </w:r>
      </w:hyperlink>
      <w:r>
        <w:rPr/>
        <w:t xml:space="preserve">, </w:t>
      </w:r>
      <w:r>
        <w:rPr>
          <w:rFonts w:ascii="Consolas" w:hAnsi="Consolas"/>
          <w:sz w:val="18"/>
        </w:rPr>
        <w:t>functions/src/mcp/tools/</w:t>
      </w:r>
      <w:r>
        <w:rPr/>
        <w:t>).</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538"/>
        <w:gridCol w:w="1352"/>
        <w:gridCol w:w="3739"/>
        <w:gridCol w:w="3739"/>
      </w:tblGrid>
      <w:tr>
        <w:trPr>
          <w:cantSplit/>
          <w:tblHeader w:val="true"/>
        </w:trPr>
        <w:tc>
          <w:tcPr>
            <w:tcW w:type="dxa" w:w="1538"/>
            <w:shd w:val="clear" w:color="auto" w:fill="1d4ed8"/>
          </w:tcPr>
          <w:p>
            <w:pPr>
              <w:spacing w:after="0"/>
            </w:pPr>
            <w:r>
              <w:rPr>
                <w:b/>
                <w:color w:val="FFFFFF"/>
                <w:sz w:val="18"/>
              </w:rPr>
              <w:t>App</w:t>
            </w:r>
          </w:p>
        </w:tc>
        <w:tc>
          <w:tcPr>
            <w:tcW w:type="dxa" w:w="1352"/>
            <w:shd w:val="clear" w:color="auto" w:fill="1d4ed8"/>
          </w:tcPr>
          <w:p>
            <w:pPr>
              <w:spacing w:after="0"/>
            </w:pPr>
            <w:r>
              <w:rPr>
                <w:b/>
                <w:color w:val="FFFFFF"/>
                <w:sz w:val="18"/>
              </w:rPr>
              <w:t>Tools</w:t>
            </w:r>
          </w:p>
        </w:tc>
        <w:tc>
          <w:tcPr>
            <w:tcW w:type="dxa" w:w="3739"/>
            <w:shd w:val="clear" w:color="auto" w:fill="1d4ed8"/>
          </w:tcPr>
          <w:p>
            <w:pPr>
              <w:spacing w:after="0"/>
            </w:pPr>
            <w:r>
              <w:rPr>
                <w:b/>
                <w:color w:val="FFFFFF"/>
                <w:sz w:val="18"/>
              </w:rPr>
              <w:t>Can overwrite existing content</w:t>
            </w:r>
          </w:p>
        </w:tc>
        <w:tc>
          <w:tcPr>
            <w:tcW w:type="dxa" w:w="3739"/>
            <w:shd w:val="clear" w:color="auto" w:fill="1d4ed8"/>
          </w:tcPr>
          <w:p>
            <w:pPr>
              <w:spacing w:after="0"/>
            </w:pPr>
            <w:r>
              <w:rPr>
                <w:b/>
                <w:color w:val="FFFFFF"/>
                <w:sz w:val="18"/>
              </w:rPr>
              <w:t>Can delete</w:t>
            </w:r>
          </w:p>
        </w:tc>
      </w:tr>
      <w:tr>
        <w:trPr>
          <w:cantSplit/>
        </w:trPr>
        <w:tc>
          <w:tcPr>
            <w:tcW w:type="dxa" w:w="1538"/>
          </w:tcPr>
          <w:p>
            <w:pPr>
              <w:spacing w:after="0"/>
            </w:pPr>
            <w:r>
              <w:rPr>
                <w:sz w:val="18"/>
              </w:rPr>
              <w:t>SPERT</w:t>
            </w:r>
            <w:r>
              <w:rPr>
                <w:sz w:val="18"/>
                <w:vertAlign w:val="superscript"/>
              </w:rPr>
              <w:t>®</w:t>
            </w:r>
            <w:r>
              <w:rPr>
                <w:sz w:val="18"/>
              </w:rPr>
              <w:t xml:space="preserve"> Scheduler</w:t>
            </w:r>
          </w:p>
        </w:tc>
        <w:tc>
          <w:tcPr>
            <w:tcW w:type="dxa" w:w="1352"/>
          </w:tcPr>
          <w:p>
            <w:pPr>
              <w:spacing w:after="0"/>
            </w:pPr>
            <w:r>
              <w:rPr>
                <w:sz w:val="18"/>
              </w:rPr>
              <w:t>25 (1 read, 24 write)</w:t>
            </w:r>
          </w:p>
        </w:tc>
        <w:tc>
          <w:tcPr>
            <w:tcW w:type="dxa" w:w="3739"/>
          </w:tcPr>
          <w:p>
            <w:pPr>
              <w:spacing w:after="0"/>
            </w:pPr>
            <w:r>
              <w:rPr>
                <w:sz w:val="18"/>
              </w:rPr>
              <w:t>Yes: names, estimates, descriptions (an empty value clears one), milestones, dependency settings, checklist state, activity order</w:t>
            </w:r>
          </w:p>
        </w:tc>
        <w:tc>
          <w:tcPr>
            <w:tcW w:type="dxa" w:w="3739"/>
          </w:tcPr>
          <w:p>
            <w:pPr>
              <w:spacing w:after="0"/>
            </w:pPr>
            <w:r>
              <w:rPr>
                <w:sz w:val="18"/>
              </w:rPr>
              <w:t>Dependency links only. No tool deletes an activity, milestone, scenario or project</w:t>
            </w:r>
          </w:p>
        </w:tc>
      </w:tr>
      <w:tr>
        <w:trPr>
          <w:cantSplit/>
        </w:trPr>
        <w:tc>
          <w:tcPr>
            <w:tcW w:type="dxa" w:w="1538"/>
            <w:shd w:val="clear" w:color="auto" w:fill="f1f5f9"/>
          </w:tcPr>
          <w:p>
            <w:pPr>
              <w:spacing w:after="0"/>
            </w:pPr>
            <w:r>
              <w:rPr>
                <w:sz w:val="18"/>
              </w:rPr>
              <w:t>SPERT</w:t>
            </w:r>
            <w:r>
              <w:rPr>
                <w:sz w:val="18"/>
                <w:vertAlign w:val="superscript"/>
              </w:rPr>
              <w:t>®</w:t>
            </w:r>
            <w:r>
              <w:rPr>
                <w:sz w:val="18"/>
              </w:rPr>
              <w:t xml:space="preserve"> Story Map</w:t>
            </w:r>
          </w:p>
        </w:tc>
        <w:tc>
          <w:tcPr>
            <w:tcW w:type="dxa" w:w="1352"/>
            <w:shd w:val="clear" w:color="auto" w:fill="f1f5f9"/>
          </w:tcPr>
          <w:p>
            <w:pPr>
              <w:spacing w:after="0"/>
            </w:pPr>
            <w:r>
              <w:rPr>
                <w:sz w:val="18"/>
              </w:rPr>
              <w:t>21 (1 read, 20 write)</w:t>
            </w:r>
          </w:p>
        </w:tc>
        <w:tc>
          <w:tcPr>
            <w:tcW w:type="dxa" w:w="3739"/>
            <w:shd w:val="clear" w:color="auto" w:fill="f1f5f9"/>
          </w:tcPr>
          <w:p>
            <w:pPr>
              <w:spacing w:after="0"/>
            </w:pPr>
            <w:r>
              <w:rPr>
                <w:sz w:val="18"/>
              </w:rPr>
              <w:t>Yes: names, descriptions, categories, notes (an empty value clears one), sizes, release allocations, location in the map</w:t>
            </w:r>
          </w:p>
        </w:tc>
        <w:tc>
          <w:tcPr>
            <w:tcW w:type="dxa" w:w="3739"/>
            <w:shd w:val="clear" w:color="auto" w:fill="f1f5f9"/>
          </w:tcPr>
          <w:p>
            <w:pPr>
              <w:spacing w:after="0"/>
            </w:pPr>
            <w:r>
              <w:rPr>
                <w:sz w:val="18"/>
              </w:rPr>
              <w:t>No entity deletes. Tools can remove release allocations</w:t>
            </w:r>
          </w:p>
        </w:tc>
      </w:tr>
      <w:tr>
        <w:trPr>
          <w:cantSplit/>
        </w:trPr>
        <w:tc>
          <w:tcPr>
            <w:tcW w:type="dxa" w:w="1538"/>
          </w:tcPr>
          <w:p>
            <w:pPr>
              <w:spacing w:after="0"/>
            </w:pPr>
            <w:r>
              <w:rPr>
                <w:sz w:val="18"/>
              </w:rPr>
              <w:t>SPERT</w:t>
            </w:r>
            <w:r>
              <w:rPr>
                <w:sz w:val="18"/>
                <w:vertAlign w:val="superscript"/>
              </w:rPr>
              <w:t>®</w:t>
            </w:r>
            <w:r>
              <w:rPr>
                <w:sz w:val="18"/>
              </w:rPr>
              <w:t xml:space="preserve"> Forecaster</w:t>
            </w:r>
          </w:p>
        </w:tc>
        <w:tc>
          <w:tcPr>
            <w:tcW w:type="dxa" w:w="1352"/>
          </w:tcPr>
          <w:p>
            <w:pPr>
              <w:spacing w:after="0"/>
            </w:pPr>
            <w:r>
              <w:rPr>
                <w:sz w:val="18"/>
              </w:rPr>
              <w:t>3 (all read)</w:t>
            </w:r>
          </w:p>
        </w:tc>
        <w:tc>
          <w:tcPr>
            <w:tcW w:type="dxa" w:w="3739"/>
          </w:tcPr>
          <w:p>
            <w:pPr>
              <w:spacing w:after="0"/>
            </w:pPr>
            <w:r>
              <w:rPr>
                <w:sz w:val="18"/>
              </w:rPr>
              <w:t>No</w:t>
            </w:r>
          </w:p>
        </w:tc>
        <w:tc>
          <w:tcPr>
            <w:tcW w:type="dxa" w:w="3739"/>
          </w:tcPr>
          <w:p>
            <w:pPr>
              <w:spacing w:after="0"/>
            </w:pPr>
            <w:r>
              <w:rPr>
                <w:sz w:val="18"/>
              </w:rPr>
              <w:t>No</w:t>
            </w:r>
          </w:p>
        </w:tc>
      </w:tr>
    </w:tbl>
    <w:p>
      <w:pPr>
        <w:spacing w:after="40"/>
      </w:pPr>
    </w:p>
    <w:p>
      <w:r>
        <w:rPr>
          <w:b/>
        </w:rPr>
        <w:t>Built-in limits.</w:t>
      </w:r>
      <w:r>
        <w:rPr/>
        <w:t xml:space="preserve"> Browsers cannot write AI operations into the relay, and cannot read a snapshot back out of it (Firestore rules), so only the Connect AI server can send edits and only that server can read a snapshot. The server rejects batched requests and applies a request-rate limit. SPERT</w:t>
      </w:r>
      <w:r>
        <w:rPr>
          <w:vertAlign w:val="superscript"/>
        </w:rPr>
        <w:t>®</w:t>
      </w:r>
      <w:r>
        <w:rPr/>
        <w:t xml:space="preserve"> Scheduler's browser code re-checks every edit against bounds before applying it, and the server refuses out-of-range estimates.</w:t>
      </w:r>
    </w:p>
    <w:p>
      <w:r>
        <w:rPr>
          <w:b/>
        </w:rPr>
        <w:t>How long relay data is kept.</w:t>
      </w:r>
      <w:r>
        <w:rPr/>
        <w:t xml:space="preserve"> Per the </w:t>
      </w:r>
      <w:hyperlink r:id="rId14">
        <w:r>
          <w:rPr>
            <w:color w:val="1d4ed8"/>
            <w:u w:val="single"/>
          </w:rPr>
          <w:t xml:space="preserve">AI Privacy Notice</w:t>
        </w:r>
      </w:hyperlink>
      <w:r>
        <w:rPr/>
        <w:t xml:space="preserve"> (§2.2, §4): relay data is deleted when the user disconnects, and the snapshot when Read Mode is turned off; otherwise it expires seven days after the session's last activity, including requests from the AI assistant. Backups may keep copies for up to 98 days. Signing out ends the session on the server in all three apps (since SPERT</w:t>
      </w:r>
      <w:r>
        <w:rPr>
          <w:vertAlign w:val="superscript"/>
        </w:rPr>
        <w:t>®</w:t>
      </w:r>
      <w:r>
        <w:rPr/>
        <w:t xml:space="preserve"> Scheduler 0.79.25, SPERT</w:t>
      </w:r>
      <w:r>
        <w:rPr>
          <w:vertAlign w:val="superscript"/>
        </w:rPr>
        <w:t>®</w:t>
      </w:r>
      <w:r>
        <w:rPr/>
        <w:t xml:space="preserve"> Story Map 0.53.13 and SPERT</w:t>
      </w:r>
      <w:r>
        <w:rPr>
          <w:vertAlign w:val="superscript"/>
        </w:rPr>
        <w:t>®</w:t>
      </w:r>
      <w:r>
        <w:rPr/>
        <w:t xml:space="preserve"> Forecaster 0.47.3); if the server cannot be reached at that moment, for example when offline, the app tells the user and keeps retrying. Disconnecting also ends the session on the server, but if the server cannot be reached, SPERT</w:t>
      </w:r>
      <w:r>
        <w:rPr>
          <w:vertAlign w:val="superscript"/>
        </w:rPr>
        <w:t>®</w:t>
      </w:r>
      <w:r>
        <w:rPr/>
        <w:t xml:space="preserve"> Scheduler and SPERT</w:t>
      </w:r>
      <w:r>
        <w:rPr>
          <w:vertAlign w:val="superscript"/>
        </w:rPr>
        <w:t>®</w:t>
      </w:r>
      <w:r>
        <w:rPr/>
        <w:t xml:space="preserve"> Story Map do not tell the user. Until a later attempt succeeds, the relay data stays until the session expires seven days after the session's last activity, including requests from the AI assistant; because each AI request extends the session, one that an AI keeps using does not expire. The AI provider's own retention applies to anything it received.</w:t>
      </w:r>
    </w:p>
    <w:p>
      <w:r>
        <w:rPr>
          <w:b/>
        </w:rPr>
        <w:t>How access works, plainly stated.</w:t>
      </w:r>
      <w:r>
        <w:rPr/>
        <w:t xml:space="preserve"> The Connect AI server has no API key or user login. Access rests on the single-use pairing code, then on the session's random identifier, plus a rate limit. This "capability token" design means anyone holding a live session identifier could act on that session. The pairing code was strengthened on 2026-10-25 (from 4 to 10 digits, single use). Stronger protection of session identifiers and abuse limits on unauthenticated relay writes are planned in the code but not yet built.</w:t>
      </w:r>
    </w:p>
    <w:p>
      <w:r>
        <w:rPr/>
        <w:t>For SPERT</w:t>
      </w:r>
      <w:r>
        <w:rPr>
          <w:vertAlign w:val="superscript"/>
        </w:rPr>
        <w:t>®</w:t>
      </w:r>
      <w:r>
        <w:rPr/>
        <w:t xml:space="preserve"> Scheduler, the kit's </w:t>
      </w:r>
      <w:r>
        <w:rPr>
          <w:i/>
        </w:rPr>
        <w:t>Connect AI Data Explainer</w:t>
      </w:r>
      <w:r>
        <w:rPr/>
        <w:t xml:space="preserve"> lists exactly which fields a Read Mode snapshot contains.</w:t>
      </w:r>
    </w:p>
    <w:p>
      <w:pPr>
        <w:pStyle w:val="Heading2"/>
      </w:pPr>
      <w:r>
        <w:rPr/>
        <w:t>5. Trust boundaries</w:t>
      </w:r>
    </w:p>
    <w:p>
      <w:r>
        <w:rPr/>
        <w:t>Each dashed region in the figures is a trust boundary: a place where data passes to a party with its own controls.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208"/>
        <w:gridCol w:w="2426"/>
        <w:gridCol w:w="2867"/>
        <w:gridCol w:w="2867"/>
      </w:tblGrid>
      <w:tr>
        <w:trPr>
          <w:cantSplit/>
          <w:tblHeader w:val="true"/>
        </w:trPr>
        <w:tc>
          <w:tcPr>
            <w:tcW w:type="dxa" w:w="2208"/>
            <w:shd w:val="clear" w:color="auto" w:fill="1d4ed8"/>
          </w:tcPr>
          <w:p>
            <w:pPr>
              <w:spacing w:after="0"/>
            </w:pPr>
            <w:r>
              <w:rPr>
                <w:b/>
                <w:color w:val="FFFFFF"/>
                <w:sz w:val="18"/>
              </w:rPr>
              <w:t>Boundary</w:t>
            </w:r>
          </w:p>
        </w:tc>
        <w:tc>
          <w:tcPr>
            <w:tcW w:type="dxa" w:w="2426"/>
            <w:shd w:val="clear" w:color="auto" w:fill="1d4ed8"/>
          </w:tcPr>
          <w:p>
            <w:pPr>
              <w:spacing w:after="0"/>
            </w:pPr>
            <w:r>
              <w:rPr>
                <w:b/>
                <w:color w:val="FFFFFF"/>
                <w:sz w:val="18"/>
              </w:rPr>
              <w:t>What crosses it</w:t>
            </w:r>
          </w:p>
        </w:tc>
        <w:tc>
          <w:tcPr>
            <w:tcW w:type="dxa" w:w="2867"/>
            <w:shd w:val="clear" w:color="auto" w:fill="1d4ed8"/>
          </w:tcPr>
          <w:p>
            <w:pPr>
              <w:spacing w:after="0"/>
            </w:pPr>
            <w:r>
              <w:rPr>
                <w:b/>
                <w:color w:val="FFFFFF"/>
                <w:sz w:val="18"/>
              </w:rPr>
              <w:t>How it is protected</w:t>
            </w:r>
          </w:p>
        </w:tc>
        <w:tc>
          <w:tcPr>
            <w:tcW w:type="dxa" w:w="2867"/>
            <w:shd w:val="clear" w:color="auto" w:fill="1d4ed8"/>
          </w:tcPr>
          <w:p>
            <w:pPr>
              <w:spacing w:after="0"/>
            </w:pPr>
            <w:r>
              <w:rPr>
                <w:b/>
                <w:color w:val="FFFFFF"/>
                <w:sz w:val="18"/>
              </w:rPr>
              <w:t>Who controls the far side</w:t>
            </w:r>
          </w:p>
        </w:tc>
      </w:tr>
      <w:tr>
        <w:trPr>
          <w:cantSplit/>
        </w:trPr>
        <w:tc>
          <w:tcPr>
            <w:tcW w:type="dxa" w:w="2208"/>
          </w:tcPr>
          <w:p>
            <w:pPr>
              <w:spacing w:after="0"/>
            </w:pPr>
            <w:r>
              <w:rPr>
                <w:sz w:val="18"/>
              </w:rPr>
              <w:t>User's device and Vercel</w:t>
            </w:r>
          </w:p>
        </w:tc>
        <w:tc>
          <w:tcPr>
            <w:tcW w:type="dxa" w:w="2426"/>
          </w:tcPr>
          <w:p>
            <w:pPr>
              <w:spacing w:after="0"/>
            </w:pPr>
            <w:r>
              <w:rPr>
                <w:sz w:val="18"/>
              </w:rPr>
              <w:t>Page requests; app code</w:t>
            </w:r>
          </w:p>
        </w:tc>
        <w:tc>
          <w:tcPr>
            <w:tcW w:type="dxa" w:w="2867"/>
          </w:tcPr>
          <w:p>
            <w:pPr>
              <w:spacing w:after="0"/>
            </w:pPr>
            <w:r>
              <w:rPr>
                <w:sz w:val="18"/>
              </w:rPr>
              <w:t>HTTPS</w:t>
            </w:r>
          </w:p>
        </w:tc>
        <w:tc>
          <w:tcPr>
            <w:tcW w:type="dxa" w:w="2867"/>
          </w:tcPr>
          <w:p>
            <w:pPr>
              <w:spacing w:after="0"/>
            </w:pPr>
            <w:r>
              <w:rPr>
                <w:sz w:val="18"/>
              </w:rPr>
              <w:t>Vercel, under its own terms</w:t>
            </w:r>
          </w:p>
        </w:tc>
      </w:tr>
      <w:tr>
        <w:trPr>
          <w:cantSplit/>
        </w:trPr>
        <w:tc>
          <w:tcPr>
            <w:tcW w:type="dxa" w:w="2208"/>
            <w:shd w:val="clear" w:color="auto" w:fill="f1f5f9"/>
          </w:tcPr>
          <w:p>
            <w:pPr>
              <w:spacing w:after="0"/>
            </w:pPr>
            <w:r>
              <w:rPr>
                <w:sz w:val="18"/>
              </w:rPr>
              <w:t>User's device and the sign-in provider</w:t>
            </w:r>
          </w:p>
        </w:tc>
        <w:tc>
          <w:tcPr>
            <w:tcW w:type="dxa" w:w="2426"/>
            <w:shd w:val="clear" w:color="auto" w:fill="f1f5f9"/>
          </w:tcPr>
          <w:p>
            <w:pPr>
              <w:spacing w:after="0"/>
            </w:pPr>
            <w:r>
              <w:rPr>
                <w:sz w:val="18"/>
              </w:rPr>
              <w:t>Sign-in</w:t>
            </w:r>
          </w:p>
        </w:tc>
        <w:tc>
          <w:tcPr>
            <w:tcW w:type="dxa" w:w="2867"/>
            <w:shd w:val="clear" w:color="auto" w:fill="f1f5f9"/>
          </w:tcPr>
          <w:p>
            <w:pPr>
              <w:spacing w:after="0"/>
            </w:pPr>
            <w:r>
              <w:rPr>
                <w:sz w:val="18"/>
              </w:rPr>
              <w:t xml:space="preserve">The provider's own sign-in, including </w:t>
            </w:r>
            <w:r>
              <w:rPr>
                <w:sz w:val="18"/>
                <w:highlight w:val="yellow"/>
              </w:rPr>
              <w:t>[ORGANIZATION]</w:t>
            </w:r>
            <w:r>
              <w:rPr>
                <w:sz w:val="18"/>
              </w:rPr>
              <w:t>'s MFA or conditional access for work accounts</w:t>
            </w:r>
          </w:p>
        </w:tc>
        <w:tc>
          <w:tcPr>
            <w:tcW w:type="dxa" w:w="2867"/>
            <w:shd w:val="clear" w:color="auto" w:fill="f1f5f9"/>
          </w:tcPr>
          <w:p>
            <w:pPr>
              <w:spacing w:after="0"/>
            </w:pPr>
            <w:r>
              <w:rPr>
                <w:sz w:val="18"/>
              </w:rPr>
              <w:t xml:space="preserve">Google or Microsoft (for work accounts, </w:t>
            </w:r>
            <w:r>
              <w:rPr>
                <w:sz w:val="18"/>
                <w:highlight w:val="yellow"/>
              </w:rPr>
              <w:t>[ORGANIZATION]</w:t>
            </w:r>
            <w:r>
              <w:rPr>
                <w:sz w:val="18"/>
              </w:rPr>
              <w:t>'s tenant settings)</w:t>
            </w:r>
          </w:p>
        </w:tc>
      </w:tr>
      <w:tr>
        <w:trPr>
          <w:cantSplit/>
        </w:trPr>
        <w:tc>
          <w:tcPr>
            <w:tcW w:type="dxa" w:w="2208"/>
          </w:tcPr>
          <w:p>
            <w:pPr>
              <w:spacing w:after="0"/>
            </w:pPr>
            <w:r>
              <w:rPr>
                <w:sz w:val="18"/>
              </w:rPr>
              <w:t>User's device and the operator's Google Cloud project</w:t>
            </w:r>
          </w:p>
        </w:tc>
        <w:tc>
          <w:tcPr>
            <w:tcW w:type="dxa" w:w="2426"/>
          </w:tcPr>
          <w:p>
            <w:pPr>
              <w:spacing w:after="0"/>
            </w:pPr>
            <w:r>
              <w:rPr>
                <w:sz w:val="18"/>
              </w:rPr>
              <w:t>Cloud projects, profile, invitations (tier 2); relay records and snapshots (tier 3)</w:t>
            </w:r>
          </w:p>
        </w:tc>
        <w:tc>
          <w:tcPr>
            <w:tcW w:type="dxa" w:w="2867"/>
          </w:tcPr>
          <w:p>
            <w:pPr>
              <w:spacing w:after="0"/>
            </w:pPr>
            <w:r>
              <w:rPr>
                <w:sz w:val="18"/>
              </w:rPr>
              <w:t>HTTPS; Firebase Authentication; Firestore security rules</w:t>
            </w:r>
          </w:p>
        </w:tc>
        <w:tc>
          <w:tcPr>
            <w:tcW w:type="dxa" w:w="2867"/>
          </w:tcPr>
          <w:p>
            <w:pPr>
              <w:spacing w:after="0"/>
            </w:pPr>
            <w:r>
              <w:rPr>
                <w:sz w:val="18"/>
              </w:rPr>
              <w:t>The operator, on Google Cloud</w:t>
            </w:r>
          </w:p>
        </w:tc>
      </w:tr>
      <w:tr>
        <w:trPr>
          <w:cantSplit/>
        </w:trPr>
        <w:tc>
          <w:tcPr>
            <w:tcW w:type="dxa" w:w="2208"/>
            <w:shd w:val="clear" w:color="auto" w:fill="f1f5f9"/>
          </w:tcPr>
          <w:p>
            <w:pPr>
              <w:spacing w:after="0"/>
            </w:pPr>
            <w:r>
              <w:rPr>
                <w:sz w:val="18"/>
              </w:rPr>
              <w:t>Operator's Google Cloud and Resend</w:t>
            </w:r>
          </w:p>
        </w:tc>
        <w:tc>
          <w:tcPr>
            <w:tcW w:type="dxa" w:w="2426"/>
            <w:shd w:val="clear" w:color="auto" w:fill="f1f5f9"/>
          </w:tcPr>
          <w:p>
            <w:pPr>
              <w:spacing w:after="0"/>
            </w:pPr>
            <w:r>
              <w:rPr>
                <w:sz w:val="18"/>
              </w:rPr>
              <w:t>Invitation details</w:t>
            </w:r>
          </w:p>
        </w:tc>
        <w:tc>
          <w:tcPr>
            <w:tcW w:type="dxa" w:w="2867"/>
            <w:shd w:val="clear" w:color="auto" w:fill="f1f5f9"/>
          </w:tcPr>
          <w:p>
            <w:pPr>
              <w:spacing w:after="0"/>
            </w:pPr>
            <w:r>
              <w:rPr>
                <w:sz w:val="18"/>
              </w:rPr>
              <w:t>HTTPS; called only by server code</w:t>
            </w:r>
          </w:p>
        </w:tc>
        <w:tc>
          <w:tcPr>
            <w:tcW w:type="dxa" w:w="2867"/>
            <w:shd w:val="clear" w:color="auto" w:fill="f1f5f9"/>
          </w:tcPr>
          <w:p>
            <w:pPr>
              <w:spacing w:after="0"/>
            </w:pPr>
            <w:r>
              <w:rPr>
                <w:sz w:val="18"/>
              </w:rPr>
              <w:t>Resend, under its own terms</w:t>
            </w:r>
          </w:p>
        </w:tc>
      </w:tr>
      <w:tr>
        <w:trPr>
          <w:cantSplit/>
        </w:trPr>
        <w:tc>
          <w:tcPr>
            <w:tcW w:type="dxa" w:w="2208"/>
          </w:tcPr>
          <w:p>
            <w:pPr>
              <w:spacing w:after="0"/>
            </w:pPr>
            <w:r>
              <w:rPr>
                <w:sz w:val="18"/>
              </w:rPr>
              <w:t>AI provider and the Connect AI server</w:t>
            </w:r>
          </w:p>
        </w:tc>
        <w:tc>
          <w:tcPr>
            <w:tcW w:type="dxa" w:w="2426"/>
          </w:tcPr>
          <w:p>
            <w:pPr>
              <w:spacing w:after="0"/>
            </w:pPr>
            <w:r>
              <w:rPr>
                <w:sz w:val="18"/>
              </w:rPr>
              <w:t>MCP tool calls and results, including snapshots in Read Mode</w:t>
            </w:r>
          </w:p>
        </w:tc>
        <w:tc>
          <w:tcPr>
            <w:tcW w:type="dxa" w:w="2867"/>
          </w:tcPr>
          <w:p>
            <w:pPr>
              <w:spacing w:after="0"/>
            </w:pPr>
            <w:r>
              <w:rPr>
                <w:sz w:val="18"/>
              </w:rPr>
              <w:t>HTTPS; pairing code, session identifier, rate limit</w:t>
            </w:r>
          </w:p>
        </w:tc>
        <w:tc>
          <w:tcPr>
            <w:tcW w:type="dxa" w:w="2867"/>
          </w:tcPr>
          <w:p>
            <w:pPr>
              <w:spacing w:after="0"/>
            </w:pPr>
            <w:r>
              <w:rPr>
                <w:sz w:val="18"/>
              </w:rPr>
              <w:t>The AI provider the user chose</w:t>
            </w:r>
          </w:p>
        </w:tc>
      </w:tr>
      <w:tr>
        <w:trPr>
          <w:cantSplit/>
        </w:trPr>
        <w:tc>
          <w:tcPr>
            <w:tcW w:type="dxa" w:w="2208"/>
            <w:shd w:val="clear" w:color="auto" w:fill="f1f5f9"/>
          </w:tcPr>
          <w:p>
            <w:pPr>
              <w:spacing w:after="0"/>
            </w:pPr>
            <w:r>
              <w:rPr>
                <w:sz w:val="18"/>
              </w:rPr>
              <w:t>User's device and the AI provider</w:t>
            </w:r>
          </w:p>
        </w:tc>
        <w:tc>
          <w:tcPr>
            <w:tcW w:type="dxa" w:w="2426"/>
            <w:shd w:val="clear" w:color="auto" w:fill="f1f5f9"/>
          </w:tcPr>
          <w:p>
            <w:pPr>
              <w:spacing w:after="0"/>
            </w:pPr>
            <w:r>
              <w:rPr>
                <w:sz w:val="18"/>
              </w:rPr>
              <w:t>Everything typed into the AI chat</w:t>
            </w:r>
          </w:p>
        </w:tc>
        <w:tc>
          <w:tcPr>
            <w:tcW w:type="dxa" w:w="2867"/>
            <w:shd w:val="clear" w:color="auto" w:fill="f1f5f9"/>
          </w:tcPr>
          <w:p>
            <w:pPr>
              <w:spacing w:after="0"/>
            </w:pPr>
            <w:r>
              <w:rPr>
                <w:sz w:val="18"/>
              </w:rPr>
              <w:t>The AI provider's account controls</w:t>
            </w:r>
          </w:p>
        </w:tc>
        <w:tc>
          <w:tcPr>
            <w:tcW w:type="dxa" w:w="2867"/>
            <w:shd w:val="clear" w:color="auto" w:fill="f1f5f9"/>
          </w:tcPr>
          <w:p>
            <w:pPr>
              <w:spacing w:after="0"/>
            </w:pPr>
            <w:r>
              <w:rPr>
                <w:sz w:val="18"/>
              </w:rPr>
              <w:t>The AI provider, under the user's account terms</w:t>
            </w:r>
          </w:p>
        </w:tc>
      </w:tr>
      <w:tr>
        <w:trPr>
          <w:cantSplit/>
        </w:trPr>
        <w:tc>
          <w:tcPr>
            <w:tcW w:type="dxa" w:w="2208"/>
          </w:tcPr>
          <w:p>
            <w:pPr>
              <w:spacing w:after="0"/>
            </w:pPr>
            <w:r>
              <w:rPr>
                <w:sz w:val="18"/>
              </w:rPr>
              <w:t>User's device and Nager.Date (SPERT</w:t>
            </w:r>
            <w:r>
              <w:rPr>
                <w:sz w:val="18"/>
                <w:vertAlign w:val="superscript"/>
              </w:rPr>
              <w:t>®</w:t>
            </w:r>
            <w:r>
              <w:rPr>
                <w:sz w:val="18"/>
              </w:rPr>
              <w:t xml:space="preserve"> Scheduler only)</w:t>
            </w:r>
          </w:p>
        </w:tc>
        <w:tc>
          <w:tcPr>
            <w:tcW w:type="dxa" w:w="2426"/>
          </w:tcPr>
          <w:p>
            <w:pPr>
              <w:spacing w:after="0"/>
            </w:pPr>
            <w:r>
              <w:rPr>
                <w:sz w:val="18"/>
              </w:rPr>
              <w:t>Country code and year</w:t>
            </w:r>
          </w:p>
        </w:tc>
        <w:tc>
          <w:tcPr>
            <w:tcW w:type="dxa" w:w="2867"/>
          </w:tcPr>
          <w:p>
            <w:pPr>
              <w:spacing w:after="0"/>
            </w:pPr>
            <w:r>
              <w:rPr>
                <w:sz w:val="18"/>
              </w:rPr>
              <w:t>HTTPS; responses checked against a schema</w:t>
            </w:r>
          </w:p>
        </w:tc>
        <w:tc>
          <w:tcPr>
            <w:tcW w:type="dxa" w:w="2867"/>
          </w:tcPr>
          <w:p>
            <w:pPr>
              <w:spacing w:after="0"/>
            </w:pPr>
            <w:r>
              <w:rPr>
                <w:sz w:val="18"/>
              </w:rPr>
              <w:t>The holiday API's operator</w:t>
            </w:r>
          </w:p>
        </w:tc>
      </w:tr>
    </w:tbl>
    <w:p>
      <w:pPr>
        <w:spacing w:after="40"/>
      </w:pPr>
    </w:p>
    <w:p>
      <w:pPr>
        <w:pStyle w:val="Heading2"/>
      </w:pPr>
      <w:r>
        <w:rPr/>
        <w:t>6. Data inventory</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2550"/>
        <w:gridCol w:w="1027"/>
        <w:gridCol w:w="2456"/>
        <w:gridCol w:w="2940"/>
        <w:gridCol w:w="1395"/>
      </w:tblGrid>
      <w:tr>
        <w:trPr>
          <w:cantSplit/>
          <w:tblHeader w:val="true"/>
        </w:trPr>
        <w:tc>
          <w:tcPr>
            <w:tcW w:type="dxa" w:w="2550"/>
            <w:shd w:val="clear" w:color="auto" w:fill="1d4ed8"/>
          </w:tcPr>
          <w:p>
            <w:pPr>
              <w:spacing w:after="0"/>
            </w:pPr>
            <w:r>
              <w:rPr>
                <w:b/>
                <w:color w:val="FFFFFF"/>
                <w:sz w:val="18"/>
              </w:rPr>
              <w:t>Data</w:t>
            </w:r>
          </w:p>
        </w:tc>
        <w:tc>
          <w:tcPr>
            <w:tcW w:type="dxa" w:w="1027"/>
            <w:shd w:val="clear" w:color="auto" w:fill="1d4ed8"/>
          </w:tcPr>
          <w:p>
            <w:pPr>
              <w:spacing w:after="0"/>
            </w:pPr>
            <w:r>
              <w:rPr>
                <w:b/>
                <w:color w:val="FFFFFF"/>
                <w:sz w:val="18"/>
              </w:rPr>
              <w:t>Tier</w:t>
            </w:r>
          </w:p>
        </w:tc>
        <w:tc>
          <w:tcPr>
            <w:tcW w:type="dxa" w:w="2456"/>
            <w:shd w:val="clear" w:color="auto" w:fill="1d4ed8"/>
          </w:tcPr>
          <w:p>
            <w:pPr>
              <w:spacing w:after="0"/>
            </w:pPr>
            <w:r>
              <w:rPr>
                <w:b/>
                <w:color w:val="FFFFFF"/>
                <w:sz w:val="18"/>
              </w:rPr>
              <w:t>Where it is held</w:t>
            </w:r>
          </w:p>
        </w:tc>
        <w:tc>
          <w:tcPr>
            <w:tcW w:type="dxa" w:w="2940"/>
            <w:shd w:val="clear" w:color="auto" w:fill="1d4ed8"/>
          </w:tcPr>
          <w:p>
            <w:pPr>
              <w:spacing w:after="0"/>
            </w:pPr>
            <w:r>
              <w:rPr>
                <w:b/>
                <w:color w:val="FFFFFF"/>
                <w:sz w:val="18"/>
              </w:rPr>
              <w:t>How long</w:t>
            </w:r>
          </w:p>
        </w:tc>
        <w:tc>
          <w:tcPr>
            <w:tcW w:type="dxa" w:w="1395"/>
            <w:shd w:val="clear" w:color="auto" w:fill="1d4ed8"/>
          </w:tcPr>
          <w:p>
            <w:pPr>
              <w:spacing w:after="0"/>
            </w:pPr>
            <w:r>
              <w:rPr>
                <w:b/>
                <w:color w:val="FFFFFF"/>
                <w:sz w:val="18"/>
              </w:rPr>
              <w:t>Source</w:t>
            </w:r>
          </w:p>
        </w:tc>
      </w:tr>
      <w:tr>
        <w:trPr>
          <w:cantSplit/>
        </w:trPr>
        <w:tc>
          <w:tcPr>
            <w:tcW w:type="dxa" w:w="2550"/>
          </w:tcPr>
          <w:p>
            <w:pPr>
              <w:spacing w:after="0"/>
            </w:pPr>
            <w:r>
              <w:rPr>
                <w:sz w:val="18"/>
              </w:rPr>
              <w:t>Projects and settings (local)</w:t>
            </w:r>
          </w:p>
        </w:tc>
        <w:tc>
          <w:tcPr>
            <w:tcW w:type="dxa" w:w="1027"/>
          </w:tcPr>
          <w:p>
            <w:pPr>
              <w:spacing w:after="0"/>
            </w:pPr>
            <w:r>
              <w:rPr>
                <w:sz w:val="18"/>
              </w:rPr>
              <w:t>1</w:t>
            </w:r>
          </w:p>
        </w:tc>
        <w:tc>
          <w:tcPr>
            <w:tcW w:type="dxa" w:w="2456"/>
          </w:tcPr>
          <w:p>
            <w:pPr>
              <w:spacing w:after="0"/>
            </w:pPr>
            <w:r>
              <w:rPr>
                <w:sz w:val="18"/>
              </w:rPr>
              <w:t>The user's browser</w:t>
            </w:r>
          </w:p>
        </w:tc>
        <w:tc>
          <w:tcPr>
            <w:tcW w:type="dxa" w:w="2940"/>
          </w:tcPr>
          <w:p>
            <w:pPr>
              <w:spacing w:after="0"/>
            </w:pPr>
            <w:r>
              <w:rPr>
                <w:sz w:val="18"/>
              </w:rPr>
              <w:t>Until the user deletes them or clears site data</w:t>
            </w:r>
          </w:p>
        </w:tc>
        <w:tc>
          <w:tcPr>
            <w:tcW w:type="dxa" w:w="1395"/>
          </w:tcPr>
          <w:p>
            <w:pPr>
              <w:spacing w:after="0"/>
            </w:pPr>
            <w:hyperlink r:id="rId13">
              <w:r>
                <w:rPr>
                  <w:color w:val="1d4ed8"/>
                  <w:sz w:val="18"/>
                  <w:u w:val="single"/>
                </w:rPr>
                <w:t xml:space="preserve">Privacy Policy</w:t>
              </w:r>
            </w:hyperlink>
            <w:r>
              <w:rPr>
                <w:sz w:val="18"/>
              </w:rPr>
              <w:t xml:space="preserve"> §1</w:t>
            </w:r>
          </w:p>
        </w:tc>
      </w:tr>
      <w:tr>
        <w:trPr>
          <w:cantSplit/>
        </w:trPr>
        <w:tc>
          <w:tcPr>
            <w:tcW w:type="dxa" w:w="2550"/>
            <w:shd w:val="clear" w:color="auto" w:fill="f1f5f9"/>
          </w:tcPr>
          <w:p>
            <w:pPr>
              <w:spacing w:after="0"/>
            </w:pPr>
            <w:r>
              <w:rPr>
                <w:sz w:val="18"/>
              </w:rPr>
              <w:t>Request data (IP address, browser type)</w:t>
            </w:r>
          </w:p>
        </w:tc>
        <w:tc>
          <w:tcPr>
            <w:tcW w:type="dxa" w:w="1027"/>
            <w:shd w:val="clear" w:color="auto" w:fill="f1f5f9"/>
          </w:tcPr>
          <w:p>
            <w:pPr>
              <w:spacing w:after="0"/>
            </w:pPr>
            <w:r>
              <w:rPr>
                <w:sz w:val="18"/>
              </w:rPr>
              <w:t>All</w:t>
            </w:r>
          </w:p>
        </w:tc>
        <w:tc>
          <w:tcPr>
            <w:tcW w:type="dxa" w:w="2456"/>
            <w:shd w:val="clear" w:color="auto" w:fill="f1f5f9"/>
          </w:tcPr>
          <w:p>
            <w:pPr>
              <w:spacing w:after="0"/>
            </w:pPr>
            <w:r>
              <w:rPr>
                <w:sz w:val="18"/>
              </w:rPr>
              <w:t>Vercel</w:t>
            </w:r>
          </w:p>
        </w:tc>
        <w:tc>
          <w:tcPr>
            <w:tcW w:type="dxa" w:w="2940"/>
            <w:shd w:val="clear" w:color="auto" w:fill="f1f5f9"/>
          </w:tcPr>
          <w:p>
            <w:pPr>
              <w:spacing w:after="0"/>
            </w:pPr>
            <w:r>
              <w:rPr>
                <w:sz w:val="18"/>
              </w:rPr>
              <w:t>Under Vercel's policies</w:t>
            </w:r>
          </w:p>
        </w:tc>
        <w:tc>
          <w:tcPr>
            <w:tcW w:type="dxa" w:w="1395"/>
            <w:shd w:val="clear" w:color="auto" w:fill="f1f5f9"/>
          </w:tcPr>
          <w:p>
            <w:pPr>
              <w:spacing w:after="0"/>
            </w:pPr>
            <w:hyperlink r:id="rId13">
              <w:r>
                <w:rPr>
                  <w:color w:val="1d4ed8"/>
                  <w:sz w:val="18"/>
                  <w:u w:val="single"/>
                </w:rPr>
                <w:t xml:space="preserve">Privacy Policy</w:t>
              </w:r>
            </w:hyperlink>
            <w:r>
              <w:rPr>
                <w:sz w:val="18"/>
              </w:rPr>
              <w:t xml:space="preserve"> §1</w:t>
            </w:r>
          </w:p>
        </w:tc>
      </w:tr>
      <w:tr>
        <w:trPr>
          <w:cantSplit/>
        </w:trPr>
        <w:tc>
          <w:tcPr>
            <w:tcW w:type="dxa" w:w="2550"/>
          </w:tcPr>
          <w:p>
            <w:pPr>
              <w:spacing w:after="0"/>
            </w:pPr>
            <w:r>
              <w:rPr>
                <w:sz w:val="18"/>
              </w:rPr>
              <w:t>Name, email, profile-photo link</w:t>
            </w:r>
          </w:p>
        </w:tc>
        <w:tc>
          <w:tcPr>
            <w:tcW w:type="dxa" w:w="1027"/>
          </w:tcPr>
          <w:p>
            <w:pPr>
              <w:spacing w:after="0"/>
            </w:pPr>
            <w:r>
              <w:rPr>
                <w:sz w:val="18"/>
              </w:rPr>
              <w:t>2</w:t>
            </w:r>
          </w:p>
        </w:tc>
        <w:tc>
          <w:tcPr>
            <w:tcW w:type="dxa" w:w="2456"/>
          </w:tcPr>
          <w:p>
            <w:pPr>
              <w:spacing w:after="0"/>
            </w:pPr>
            <w:r>
              <w:rPr>
                <w:sz w:val="18"/>
              </w:rPr>
              <w:t>Firebase Authentication; shared profile in Firestore</w:t>
            </w:r>
          </w:p>
        </w:tc>
        <w:tc>
          <w:tcPr>
            <w:tcW w:type="dxa" w:w="2940"/>
          </w:tcPr>
          <w:p>
            <w:pPr>
              <w:spacing w:after="0"/>
            </w:pPr>
            <w:r>
              <w:rPr>
                <w:sz w:val="18"/>
              </w:rPr>
              <w:t>While the account is active; deleted on request within 30 days (Firebase Authentication may keep sign-in data up to 180 days)</w:t>
            </w:r>
          </w:p>
        </w:tc>
        <w:tc>
          <w:tcPr>
            <w:tcW w:type="dxa" w:w="1395"/>
          </w:tcPr>
          <w:p>
            <w:pPr>
              <w:spacing w:after="0"/>
            </w:pPr>
            <w:hyperlink r:id="rId13">
              <w:r>
                <w:rPr>
                  <w:color w:val="1d4ed8"/>
                  <w:sz w:val="18"/>
                  <w:u w:val="single"/>
                </w:rPr>
                <w:t xml:space="preserve">Privacy Policy</w:t>
              </w:r>
            </w:hyperlink>
            <w:r>
              <w:rPr>
                <w:sz w:val="18"/>
              </w:rPr>
              <w:t xml:space="preserve"> §2.1, §6</w:t>
            </w:r>
          </w:p>
        </w:tc>
      </w:tr>
      <w:tr>
        <w:trPr>
          <w:cantSplit/>
        </w:trPr>
        <w:tc>
          <w:tcPr>
            <w:tcW w:type="dxa" w:w="2550"/>
            <w:shd w:val="clear" w:color="auto" w:fill="f1f5f9"/>
          </w:tcPr>
          <w:p>
            <w:pPr>
              <w:spacing w:after="0"/>
            </w:pPr>
            <w:r>
              <w:rPr>
                <w:sz w:val="18"/>
              </w:rPr>
              <w:t>Projects and settings (cloud)</w:t>
            </w:r>
          </w:p>
        </w:tc>
        <w:tc>
          <w:tcPr>
            <w:tcW w:type="dxa" w:w="1027"/>
            <w:shd w:val="clear" w:color="auto" w:fill="f1f5f9"/>
          </w:tcPr>
          <w:p>
            <w:pPr>
              <w:spacing w:after="0"/>
            </w:pPr>
            <w:r>
              <w:rPr>
                <w:sz w:val="18"/>
              </w:rPr>
              <w:t>2</w:t>
            </w:r>
          </w:p>
        </w:tc>
        <w:tc>
          <w:tcPr>
            <w:tcW w:type="dxa" w:w="2456"/>
            <w:shd w:val="clear" w:color="auto" w:fill="f1f5f9"/>
          </w:tcPr>
          <w:p>
            <w:pPr>
              <w:spacing w:after="0"/>
            </w:pPr>
            <w:r>
              <w:rPr>
                <w:sz w:val="18"/>
              </w:rPr>
              <w:t>Firestore, United States (</w:t>
            </w:r>
            <w:r>
              <w:rPr>
                <w:rFonts w:ascii="Consolas" w:hAnsi="Consolas"/>
                <w:sz w:val="16"/>
              </w:rPr>
              <w:t>nam5</w:t>
            </w:r>
            <w:r>
              <w:rPr>
                <w:sz w:val="18"/>
              </w:rPr>
              <w:t>)</w:t>
            </w:r>
          </w:p>
        </w:tc>
        <w:tc>
          <w:tcPr>
            <w:tcW w:type="dxa" w:w="2940"/>
            <w:shd w:val="clear" w:color="auto" w:fill="f1f5f9"/>
          </w:tcPr>
          <w:p>
            <w:pPr>
              <w:spacing w:after="0"/>
            </w:pPr>
            <w:r>
              <w:rPr>
                <w:sz w:val="18"/>
              </w:rPr>
              <w:t>As above; backups up to 98 days</w:t>
            </w:r>
          </w:p>
        </w:tc>
        <w:tc>
          <w:tcPr>
            <w:tcW w:type="dxa" w:w="1395"/>
            <w:shd w:val="clear" w:color="auto" w:fill="f1f5f9"/>
          </w:tcPr>
          <w:p>
            <w:pPr>
              <w:spacing w:after="0"/>
            </w:pPr>
            <w:hyperlink r:id="rId13">
              <w:r>
                <w:rPr>
                  <w:color w:val="1d4ed8"/>
                  <w:sz w:val="18"/>
                  <w:u w:val="single"/>
                </w:rPr>
                <w:t xml:space="preserve">Privacy Policy</w:t>
              </w:r>
            </w:hyperlink>
            <w:r>
              <w:rPr>
                <w:sz w:val="18"/>
              </w:rPr>
              <w:t xml:space="preserve"> §2.2, §6, §9</w:t>
            </w:r>
          </w:p>
        </w:tc>
      </w:tr>
      <w:tr>
        <w:trPr>
          <w:cantSplit/>
        </w:trPr>
        <w:tc>
          <w:tcPr>
            <w:tcW w:type="dxa" w:w="2550"/>
          </w:tcPr>
          <w:p>
            <w:pPr>
              <w:spacing w:after="0"/>
            </w:pPr>
            <w:r>
              <w:rPr>
                <w:sz w:val="18"/>
              </w:rPr>
              <w:t>Terms acceptance record</w:t>
            </w:r>
          </w:p>
        </w:tc>
        <w:tc>
          <w:tcPr>
            <w:tcW w:type="dxa" w:w="1027"/>
          </w:tcPr>
          <w:p>
            <w:pPr>
              <w:spacing w:after="0"/>
            </w:pPr>
            <w:r>
              <w:rPr>
                <w:sz w:val="18"/>
              </w:rPr>
              <w:t>2</w:t>
            </w:r>
          </w:p>
        </w:tc>
        <w:tc>
          <w:tcPr>
            <w:tcW w:type="dxa" w:w="2456"/>
          </w:tcPr>
          <w:p>
            <w:pPr>
              <w:spacing w:after="0"/>
            </w:pPr>
            <w:r>
              <w:rPr>
                <w:sz w:val="18"/>
              </w:rPr>
              <w:t>Firestore</w:t>
            </w:r>
          </w:p>
        </w:tc>
        <w:tc>
          <w:tcPr>
            <w:tcW w:type="dxa" w:w="2940"/>
          </w:tcPr>
          <w:p>
            <w:pPr>
              <w:spacing w:after="0"/>
            </w:pPr>
            <w:r>
              <w:rPr>
                <w:sz w:val="18"/>
              </w:rPr>
              <w:t>As above</w:t>
            </w:r>
          </w:p>
        </w:tc>
        <w:tc>
          <w:tcPr>
            <w:tcW w:type="dxa" w:w="1395"/>
          </w:tcPr>
          <w:p>
            <w:pPr>
              <w:spacing w:after="0"/>
            </w:pPr>
            <w:hyperlink r:id="rId13">
              <w:r>
                <w:rPr>
                  <w:color w:val="1d4ed8"/>
                  <w:sz w:val="18"/>
                  <w:u w:val="single"/>
                </w:rPr>
                <w:t xml:space="preserve">Privacy Policy</w:t>
              </w:r>
            </w:hyperlink>
            <w:r>
              <w:rPr>
                <w:sz w:val="18"/>
              </w:rPr>
              <w:t xml:space="preserve"> §2.1</w:t>
            </w:r>
          </w:p>
        </w:tc>
      </w:tr>
      <w:tr>
        <w:trPr>
          <w:cantSplit/>
        </w:trPr>
        <w:tc>
          <w:tcPr>
            <w:tcW w:type="dxa" w:w="2550"/>
            <w:shd w:val="clear" w:color="auto" w:fill="f1f5f9"/>
          </w:tcPr>
          <w:p>
            <w:pPr>
              <w:spacing w:after="0"/>
            </w:pPr>
            <w:r>
              <w:rPr>
                <w:sz w:val="18"/>
              </w:rPr>
              <w:t>Invitation records</w:t>
            </w:r>
          </w:p>
        </w:tc>
        <w:tc>
          <w:tcPr>
            <w:tcW w:type="dxa" w:w="1027"/>
            <w:shd w:val="clear" w:color="auto" w:fill="f1f5f9"/>
          </w:tcPr>
          <w:p>
            <w:pPr>
              <w:spacing w:after="0"/>
            </w:pPr>
            <w:r>
              <w:rPr>
                <w:sz w:val="18"/>
              </w:rPr>
              <w:t>2</w:t>
            </w:r>
          </w:p>
        </w:tc>
        <w:tc>
          <w:tcPr>
            <w:tcW w:type="dxa" w:w="2456"/>
            <w:shd w:val="clear" w:color="auto" w:fill="f1f5f9"/>
          </w:tcPr>
          <w:p>
            <w:pPr>
              <w:spacing w:after="0"/>
            </w:pPr>
            <w:r>
              <w:rPr>
                <w:sz w:val="18"/>
              </w:rPr>
              <w:t>Firestore; the email goes through Resend</w:t>
            </w:r>
          </w:p>
        </w:tc>
        <w:tc>
          <w:tcPr>
            <w:tcW w:type="dxa" w:w="2940"/>
            <w:shd w:val="clear" w:color="auto" w:fill="f1f5f9"/>
          </w:tcPr>
          <w:p>
            <w:pPr>
              <w:spacing w:after="0"/>
            </w:pPr>
            <w:r>
              <w:rPr>
                <w:sz w:val="18"/>
              </w:rPr>
              <w:t>Expire after 30 days; records kept until the operator purges them</w:t>
            </w:r>
          </w:p>
        </w:tc>
        <w:tc>
          <w:tcPr>
            <w:tcW w:type="dxa" w:w="1395"/>
            <w:shd w:val="clear" w:color="auto" w:fill="f1f5f9"/>
          </w:tcPr>
          <w:p>
            <w:pPr>
              <w:spacing w:after="0"/>
            </w:pPr>
            <w:hyperlink r:id="rId13">
              <w:r>
                <w:rPr>
                  <w:color w:val="1d4ed8"/>
                  <w:sz w:val="18"/>
                  <w:u w:val="single"/>
                </w:rPr>
                <w:t xml:space="preserve">Privacy Policy</w:t>
              </w:r>
            </w:hyperlink>
            <w:r>
              <w:rPr>
                <w:sz w:val="18"/>
              </w:rPr>
              <w:t xml:space="preserve"> §2.6</w:t>
            </w:r>
          </w:p>
        </w:tc>
      </w:tr>
      <w:tr>
        <w:trPr>
          <w:cantSplit/>
        </w:trPr>
        <w:tc>
          <w:tcPr>
            <w:tcW w:type="dxa" w:w="2550"/>
          </w:tcPr>
          <w:p>
            <w:pPr>
              <w:spacing w:after="0"/>
            </w:pPr>
            <w:r>
              <w:rPr>
                <w:sz w:val="18"/>
              </w:rPr>
              <w:t>Technical data (IP address, browser, timestamps)</w:t>
            </w:r>
          </w:p>
        </w:tc>
        <w:tc>
          <w:tcPr>
            <w:tcW w:type="dxa" w:w="1027"/>
          </w:tcPr>
          <w:p>
            <w:pPr>
              <w:spacing w:after="0"/>
            </w:pPr>
            <w:r>
              <w:rPr>
                <w:sz w:val="18"/>
              </w:rPr>
              <w:t>2, 3</w:t>
            </w:r>
          </w:p>
        </w:tc>
        <w:tc>
          <w:tcPr>
            <w:tcW w:type="dxa" w:w="2456"/>
          </w:tcPr>
          <w:p>
            <w:pPr>
              <w:spacing w:after="0"/>
            </w:pPr>
            <w:r>
              <w:rPr>
                <w:sz w:val="18"/>
              </w:rPr>
              <w:t>Google Firebase; Google Cloud Logging</w:t>
            </w:r>
          </w:p>
        </w:tc>
        <w:tc>
          <w:tcPr>
            <w:tcW w:type="dxa" w:w="2940"/>
          </w:tcPr>
          <w:p>
            <w:pPr>
              <w:spacing w:after="0"/>
            </w:pPr>
            <w:r>
              <w:rPr>
                <w:sz w:val="18"/>
              </w:rPr>
              <w:t>Logs 30 days, location not restricted</w:t>
            </w:r>
          </w:p>
        </w:tc>
        <w:tc>
          <w:tcPr>
            <w:tcW w:type="dxa" w:w="1395"/>
          </w:tcPr>
          <w:p>
            <w:pPr>
              <w:spacing w:after="0"/>
            </w:pPr>
            <w:hyperlink r:id="rId13">
              <w:r>
                <w:rPr>
                  <w:color w:val="1d4ed8"/>
                  <w:sz w:val="18"/>
                  <w:u w:val="single"/>
                </w:rPr>
                <w:t xml:space="preserve">Privacy Policy</w:t>
              </w:r>
            </w:hyperlink>
            <w:r>
              <w:rPr>
                <w:sz w:val="18"/>
              </w:rPr>
              <w:t xml:space="preserve"> §2.3</w:t>
            </w:r>
          </w:p>
        </w:tc>
      </w:tr>
      <w:tr>
        <w:trPr>
          <w:cantSplit/>
        </w:trPr>
        <w:tc>
          <w:tcPr>
            <w:tcW w:type="dxa" w:w="2550"/>
            <w:shd w:val="clear" w:color="auto" w:fill="f1f5f9"/>
          </w:tcPr>
          <w:p>
            <w:pPr>
              <w:spacing w:after="0"/>
            </w:pPr>
            <w:r>
              <w:rPr>
                <w:sz w:val="18"/>
              </w:rPr>
              <w:t>Connect AI session record and AI edits in transit</w:t>
            </w:r>
          </w:p>
        </w:tc>
        <w:tc>
          <w:tcPr>
            <w:tcW w:type="dxa" w:w="1027"/>
            <w:shd w:val="clear" w:color="auto" w:fill="f1f5f9"/>
          </w:tcPr>
          <w:p>
            <w:pPr>
              <w:spacing w:after="0"/>
            </w:pPr>
            <w:r>
              <w:rPr>
                <w:sz w:val="18"/>
              </w:rPr>
              <w:t>3</w:t>
            </w:r>
          </w:p>
        </w:tc>
        <w:tc>
          <w:tcPr>
            <w:tcW w:type="dxa" w:w="2456"/>
            <w:shd w:val="clear" w:color="auto" w:fill="f1f5f9"/>
          </w:tcPr>
          <w:p>
            <w:pPr>
              <w:spacing w:after="0"/>
            </w:pPr>
            <w:r>
              <w:rPr>
                <w:sz w:val="18"/>
              </w:rPr>
              <w:t>Firestore relay</w:t>
            </w:r>
          </w:p>
        </w:tc>
        <w:tc>
          <w:tcPr>
            <w:tcW w:type="dxa" w:w="2940"/>
            <w:shd w:val="clear" w:color="auto" w:fill="f1f5f9"/>
          </w:tcPr>
          <w:p>
            <w:pPr>
              <w:spacing w:after="0"/>
            </w:pPr>
            <w:r>
              <w:rPr>
                <w:sz w:val="18"/>
              </w:rPr>
              <w:t>Deleted on disconnect, or 7 days after the session's last activity (AI requests count as activity); backups up to 98 days</w:t>
            </w:r>
          </w:p>
        </w:tc>
        <w:tc>
          <w:tcPr>
            <w:tcW w:type="dxa" w:w="1395"/>
            <w:shd w:val="clear" w:color="auto" w:fill="f1f5f9"/>
          </w:tcPr>
          <w:p>
            <w:pPr>
              <w:spacing w:after="0"/>
            </w:pPr>
            <w:hyperlink r:id="rId14">
              <w:r>
                <w:rPr>
                  <w:color w:val="1d4ed8"/>
                  <w:sz w:val="18"/>
                  <w:u w:val="single"/>
                </w:rPr>
                <w:t xml:space="preserve">AI Privacy Notice</w:t>
              </w:r>
            </w:hyperlink>
            <w:r>
              <w:rPr>
                <w:sz w:val="18"/>
              </w:rPr>
              <w:t xml:space="preserve"> §2.1, §4</w:t>
            </w:r>
          </w:p>
        </w:tc>
      </w:tr>
      <w:tr>
        <w:trPr>
          <w:cantSplit/>
        </w:trPr>
        <w:tc>
          <w:tcPr>
            <w:tcW w:type="dxa" w:w="2550"/>
          </w:tcPr>
          <w:p>
            <w:pPr>
              <w:spacing w:after="0"/>
            </w:pPr>
            <w:r>
              <w:rPr>
                <w:sz w:val="18"/>
              </w:rPr>
              <w:t>Read Mode snapshot of the open project</w:t>
            </w:r>
          </w:p>
        </w:tc>
        <w:tc>
          <w:tcPr>
            <w:tcW w:type="dxa" w:w="1027"/>
          </w:tcPr>
          <w:p>
            <w:pPr>
              <w:spacing w:after="0"/>
            </w:pPr>
            <w:r>
              <w:rPr>
                <w:sz w:val="18"/>
              </w:rPr>
              <w:t>3</w:t>
            </w:r>
          </w:p>
        </w:tc>
        <w:tc>
          <w:tcPr>
            <w:tcW w:type="dxa" w:w="2456"/>
          </w:tcPr>
          <w:p>
            <w:pPr>
              <w:spacing w:after="0"/>
            </w:pPr>
            <w:r>
              <w:rPr>
                <w:sz w:val="18"/>
              </w:rPr>
              <w:t>Firestore relay, then the AI provider</w:t>
            </w:r>
          </w:p>
        </w:tc>
        <w:tc>
          <w:tcPr>
            <w:tcW w:type="dxa" w:w="2940"/>
          </w:tcPr>
          <w:p>
            <w:pPr>
              <w:spacing w:after="0"/>
            </w:pPr>
            <w:r>
              <w:rPr>
                <w:sz w:val="18"/>
              </w:rPr>
              <w:t>Relay: deleted when Read Mode is turned off or as above. Provider: its own terms</w:t>
            </w:r>
          </w:p>
        </w:tc>
        <w:tc>
          <w:tcPr>
            <w:tcW w:type="dxa" w:w="1395"/>
          </w:tcPr>
          <w:p>
            <w:pPr>
              <w:spacing w:after="0"/>
            </w:pPr>
            <w:hyperlink r:id="rId14">
              <w:r>
                <w:rPr>
                  <w:color w:val="1d4ed8"/>
                  <w:sz w:val="18"/>
                  <w:u w:val="single"/>
                </w:rPr>
                <w:t xml:space="preserve">AI Privacy Notice</w:t>
              </w:r>
            </w:hyperlink>
            <w:r>
              <w:rPr>
                <w:sz w:val="18"/>
              </w:rPr>
              <w:t xml:space="preserve"> §2.2</w:t>
            </w:r>
          </w:p>
        </w:tc>
      </w:tr>
      <w:tr>
        <w:trPr>
          <w:cantSplit/>
        </w:trPr>
        <w:tc>
          <w:tcPr>
            <w:tcW w:type="dxa" w:w="2550"/>
            <w:shd w:val="clear" w:color="auto" w:fill="f1f5f9"/>
          </w:tcPr>
          <w:p>
            <w:pPr>
              <w:spacing w:after="0"/>
            </w:pPr>
            <w:r>
              <w:rPr>
                <w:sz w:val="18"/>
              </w:rPr>
              <w:t xml:space="preserve">Contact and training forms on </w:t>
            </w:r>
            <w:hyperlink r:id="rId22">
              <w:r>
                <w:rPr>
                  <w:rFonts w:ascii="Consolas" w:hAnsi="Consolas" w:cs="Consolas"/>
                  <w:color w:val="1d4ed8"/>
                  <w:sz w:val="16"/>
                  <w:u w:val="single"/>
                </w:rPr>
                <w:t xml:space="preserve">spertsuite.com</w:t>
              </w:r>
            </w:hyperlink>
          </w:p>
        </w:tc>
        <w:tc>
          <w:tcPr>
            <w:tcW w:type="dxa" w:w="1027"/>
            <w:shd w:val="clear" w:color="auto" w:fill="f1f5f9"/>
          </w:tcPr>
          <w:p>
            <w:pPr>
              <w:spacing w:after="0"/>
            </w:pPr>
            <w:r>
              <w:rPr>
                <w:sz w:val="18"/>
              </w:rPr>
              <w:t>Website only</w:t>
            </w:r>
          </w:p>
        </w:tc>
        <w:tc>
          <w:tcPr>
            <w:tcW w:type="dxa" w:w="2456"/>
            <w:shd w:val="clear" w:color="auto" w:fill="f1f5f9"/>
          </w:tcPr>
          <w:p>
            <w:pPr>
              <w:spacing w:after="0"/>
            </w:pPr>
            <w:r>
              <w:rPr>
                <w:sz w:val="18"/>
              </w:rPr>
              <w:t>Formspree, then the operator's email</w:t>
            </w:r>
          </w:p>
        </w:tc>
        <w:tc>
          <w:tcPr>
            <w:tcW w:type="dxa" w:w="2940"/>
            <w:shd w:val="clear" w:color="auto" w:fill="f1f5f9"/>
          </w:tcPr>
          <w:p>
            <w:pPr>
              <w:spacing w:after="0"/>
            </w:pPr>
            <w:r>
              <w:rPr>
                <w:sz w:val="18"/>
              </w:rPr>
              <w:t>As long as needed to respond</w:t>
            </w:r>
          </w:p>
        </w:tc>
        <w:tc>
          <w:tcPr>
            <w:tcW w:type="dxa" w:w="1395"/>
            <w:shd w:val="clear" w:color="auto" w:fill="f1f5f9"/>
          </w:tcPr>
          <w:p>
            <w:pPr>
              <w:spacing w:after="0"/>
            </w:pPr>
            <w:hyperlink r:id="rId13">
              <w:r>
                <w:rPr>
                  <w:color w:val="1d4ed8"/>
                  <w:sz w:val="18"/>
                  <w:u w:val="single"/>
                </w:rPr>
                <w:t xml:space="preserve">Privacy Policy</w:t>
              </w:r>
            </w:hyperlink>
            <w:r>
              <w:rPr>
                <w:sz w:val="18"/>
              </w:rPr>
              <w:t xml:space="preserve"> §2.7</w:t>
            </w:r>
          </w:p>
        </w:tc>
      </w:tr>
    </w:tbl>
    <w:p>
      <w:pPr>
        <w:spacing w:after="40"/>
      </w:pPr>
    </w:p>
    <w:p>
      <w:r>
        <w:rPr>
          <w:b/>
        </w:rPr>
        <w:t>Not collected</w:t>
      </w:r>
      <w:r>
        <w:rPr/>
        <w:t xml:space="preserve"> (</w:t>
      </w:r>
      <w:hyperlink r:id="rId13">
        <w:r>
          <w:rPr>
            <w:color w:val="1d4ed8"/>
            <w:u w:val="single"/>
          </w:rPr>
          <w:t xml:space="preserve">Privacy Policy</w:t>
        </w:r>
      </w:hyperlink>
      <w:r>
        <w:rPr/>
        <w:t xml:space="preserve"> §2.4): payment data, government identifiers, phone numbers, addresses, job titles or organizational affiliation, and any data from local-only use other than standard web-hosting request data.</w:t>
      </w:r>
    </w:p>
    <w:p>
      <w:r>
        <w:rPr>
          <w:b/>
        </w:rPr>
        <w:t>Not allowed.</w:t>
      </w:r>
      <w:r>
        <w:rPr/>
        <w:t xml:space="preserve"> The </w:t>
      </w:r>
      <w:hyperlink r:id="rId12">
        <w:r>
          <w:rPr>
            <w:color w:val="1d4ed8"/>
            <w:u w:val="single"/>
          </w:rPr>
          <w:t xml:space="preserve">Terms of Service</w:t>
        </w:r>
      </w:hyperlink>
      <w:r>
        <w:rPr/>
        <w:t xml:space="preserve"> (§5.3) and </w:t>
      </w:r>
      <w:hyperlink r:id="rId13">
        <w:r>
          <w:rPr>
            <w:color w:val="1d4ed8"/>
            <w:u w:val="single"/>
          </w:rPr>
          <w:t xml:space="preserve">Privacy Policy</w:t>
        </w:r>
      </w:hyperlink>
      <w:r>
        <w:rPr/>
        <w:t xml:space="preserve"> (§2.2) prohibit storing third-party personal information, protected health information, payment card data, government identification numbers or other regulated data. </w:t>
      </w:r>
      <w:r>
        <w:rPr>
          <w:highlight w:val="yellow"/>
        </w:rPr>
        <w:t>[ORGANIZATION]</w:t>
      </w:r>
      <w:r>
        <w:rPr/>
        <w:t xml:space="preserve">'s data classification for planning data should be checked against this: </w:t>
      </w:r>
      <w:r>
        <w:rPr>
          <w:highlight w:val="yellow"/>
        </w:rPr>
        <w:t>[DATA CLASSIFICATION APPROVED FOR USE]</w:t>
      </w:r>
      <w:r>
        <w:rPr/>
        <w:t>.</w:t>
      </w:r>
    </w:p>
    <w:p>
      <w:pPr>
        <w:pStyle w:val="Heading2"/>
      </w:pPr>
      <w:r>
        <w:rPr/>
        <w:t>7. Service providers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1985"/>
        <w:gridCol w:w="2856"/>
        <w:gridCol w:w="2746"/>
        <w:gridCol w:w="1380"/>
        <w:gridCol w:w="1401"/>
      </w:tblGrid>
      <w:tr>
        <w:trPr>
          <w:cantSplit/>
          <w:tblHeader w:val="true"/>
        </w:trPr>
        <w:tc>
          <w:tcPr>
            <w:tcW w:type="dxa" w:w="1985"/>
            <w:shd w:val="clear" w:color="auto" w:fill="1d4ed8"/>
          </w:tcPr>
          <w:p>
            <w:pPr>
              <w:spacing w:after="0"/>
            </w:pPr>
            <w:r>
              <w:rPr>
                <w:b/>
                <w:color w:val="FFFFFF"/>
                <w:sz w:val="18"/>
              </w:rPr>
              <w:t>Provider</w:t>
            </w:r>
          </w:p>
        </w:tc>
        <w:tc>
          <w:tcPr>
            <w:tcW w:type="dxa" w:w="2856"/>
            <w:shd w:val="clear" w:color="auto" w:fill="1d4ed8"/>
          </w:tcPr>
          <w:p>
            <w:pPr>
              <w:spacing w:after="0"/>
            </w:pPr>
            <w:r>
              <w:rPr>
                <w:b/>
                <w:color w:val="FFFFFF"/>
                <w:sz w:val="18"/>
              </w:rPr>
              <w:t>Role</w:t>
            </w:r>
          </w:p>
        </w:tc>
        <w:tc>
          <w:tcPr>
            <w:tcW w:type="dxa" w:w="2746"/>
            <w:shd w:val="clear" w:color="auto" w:fill="1d4ed8"/>
          </w:tcPr>
          <w:p>
            <w:pPr>
              <w:spacing w:after="0"/>
            </w:pPr>
            <w:r>
              <w:rPr>
                <w:b/>
                <w:color w:val="FFFFFF"/>
                <w:sz w:val="18"/>
              </w:rPr>
              <w:t>Receives</w:t>
            </w:r>
          </w:p>
        </w:tc>
        <w:tc>
          <w:tcPr>
            <w:tcW w:type="dxa" w:w="1380"/>
            <w:shd w:val="clear" w:color="auto" w:fill="1d4ed8"/>
          </w:tcPr>
          <w:p>
            <w:pPr>
              <w:spacing w:after="0"/>
            </w:pPr>
            <w:r>
              <w:rPr>
                <w:b/>
                <w:color w:val="FFFFFF"/>
                <w:sz w:val="18"/>
              </w:rPr>
              <w:t>Tier</w:t>
            </w:r>
          </w:p>
        </w:tc>
        <w:tc>
          <w:tcPr>
            <w:tcW w:type="dxa" w:w="1401"/>
            <w:shd w:val="clear" w:color="auto" w:fill="1d4ed8"/>
          </w:tcPr>
          <w:p>
            <w:pPr>
              <w:spacing w:after="0"/>
            </w:pPr>
            <w:r>
              <w:rPr>
                <w:b/>
                <w:color w:val="FFFFFF"/>
                <w:sz w:val="18"/>
              </w:rPr>
              <w:t>Source</w:t>
            </w:r>
          </w:p>
        </w:tc>
      </w:tr>
      <w:tr>
        <w:trPr>
          <w:cantSplit/>
        </w:trPr>
        <w:tc>
          <w:tcPr>
            <w:tcW w:type="dxa" w:w="1985"/>
          </w:tcPr>
          <w:p>
            <w:pPr>
              <w:spacing w:after="0"/>
            </w:pPr>
            <w:r>
              <w:rPr>
                <w:sz w:val="18"/>
              </w:rPr>
              <w:t>Google LLC (Firebase, Google Cloud)</w:t>
            </w:r>
          </w:p>
        </w:tc>
        <w:tc>
          <w:tcPr>
            <w:tcW w:type="dxa" w:w="2856"/>
          </w:tcPr>
          <w:p>
            <w:pPr>
              <w:spacing w:after="0"/>
            </w:pPr>
            <w:r>
              <w:rPr>
                <w:sz w:val="18"/>
              </w:rPr>
              <w:t>Sign-in, database, server functions, Connect AI server, logs</w:t>
            </w:r>
          </w:p>
        </w:tc>
        <w:tc>
          <w:tcPr>
            <w:tcW w:type="dxa" w:w="2746"/>
          </w:tcPr>
          <w:p>
            <w:pPr>
              <w:spacing w:after="0"/>
            </w:pPr>
            <w:r>
              <w:rPr>
                <w:sz w:val="18"/>
              </w:rPr>
              <w:t>Account, cloud project, relay and technical data</w:t>
            </w:r>
          </w:p>
        </w:tc>
        <w:tc>
          <w:tcPr>
            <w:tcW w:type="dxa" w:w="1380"/>
          </w:tcPr>
          <w:p>
            <w:pPr>
              <w:spacing w:after="0"/>
            </w:pPr>
            <w:r>
              <w:rPr>
                <w:sz w:val="18"/>
              </w:rPr>
              <w:t>2, 3</w:t>
            </w:r>
          </w:p>
        </w:tc>
        <w:tc>
          <w:tcPr>
            <w:tcW w:type="dxa" w:w="1401"/>
          </w:tcPr>
          <w:p>
            <w:pPr>
              <w:spacing w:after="0"/>
            </w:pPr>
            <w:hyperlink r:id="rId13">
              <w:r>
                <w:rPr>
                  <w:color w:val="1d4ed8"/>
                  <w:sz w:val="18"/>
                  <w:u w:val="single"/>
                </w:rPr>
                <w:t xml:space="preserve">Privacy Policy</w:t>
              </w:r>
            </w:hyperlink>
            <w:r>
              <w:rPr>
                <w:sz w:val="18"/>
              </w:rPr>
              <w:t xml:space="preserve"> §2.3, §4.1</w:t>
            </w:r>
          </w:p>
        </w:tc>
      </w:tr>
      <w:tr>
        <w:trPr>
          <w:cantSplit/>
        </w:trPr>
        <w:tc>
          <w:tcPr>
            <w:tcW w:type="dxa" w:w="1985"/>
            <w:shd w:val="clear" w:color="auto" w:fill="f1f5f9"/>
          </w:tcPr>
          <w:p>
            <w:pPr>
              <w:spacing w:after="0"/>
            </w:pPr>
            <w:r>
              <w:rPr>
                <w:sz w:val="18"/>
              </w:rPr>
              <w:t>Vercel Inc.</w:t>
            </w:r>
          </w:p>
        </w:tc>
        <w:tc>
          <w:tcPr>
            <w:tcW w:type="dxa" w:w="2856"/>
            <w:shd w:val="clear" w:color="auto" w:fill="f1f5f9"/>
          </w:tcPr>
          <w:p>
            <w:pPr>
              <w:spacing w:after="0"/>
            </w:pPr>
            <w:r>
              <w:rPr>
                <w:sz w:val="18"/>
              </w:rPr>
              <w:t>Hosts the apps' web pages</w:t>
            </w:r>
          </w:p>
        </w:tc>
        <w:tc>
          <w:tcPr>
            <w:tcW w:type="dxa" w:w="2746"/>
            <w:shd w:val="clear" w:color="auto" w:fill="f1f5f9"/>
          </w:tcPr>
          <w:p>
            <w:pPr>
              <w:spacing w:after="0"/>
            </w:pPr>
            <w:r>
              <w:rPr>
                <w:sz w:val="18"/>
              </w:rPr>
              <w:t>Standard request data</w:t>
            </w:r>
          </w:p>
        </w:tc>
        <w:tc>
          <w:tcPr>
            <w:tcW w:type="dxa" w:w="1380"/>
            <w:shd w:val="clear" w:color="auto" w:fill="f1f5f9"/>
          </w:tcPr>
          <w:p>
            <w:pPr>
              <w:spacing w:after="0"/>
            </w:pPr>
            <w:r>
              <w:rPr>
                <w:sz w:val="18"/>
              </w:rPr>
              <w:t>All</w:t>
            </w:r>
          </w:p>
        </w:tc>
        <w:tc>
          <w:tcPr>
            <w:tcW w:type="dxa" w:w="1401"/>
            <w:shd w:val="clear" w:color="auto" w:fill="f1f5f9"/>
          </w:tcPr>
          <w:p>
            <w:pPr>
              <w:spacing w:after="0"/>
            </w:pPr>
            <w:hyperlink r:id="rId13">
              <w:r>
                <w:rPr>
                  <w:color w:val="1d4ed8"/>
                  <w:sz w:val="18"/>
                  <w:u w:val="single"/>
                </w:rPr>
                <w:t xml:space="preserve">Privacy Policy</w:t>
              </w:r>
            </w:hyperlink>
            <w:r>
              <w:rPr>
                <w:sz w:val="18"/>
              </w:rPr>
              <w:t xml:space="preserve"> §1, §4.6</w:t>
            </w:r>
          </w:p>
        </w:tc>
      </w:tr>
      <w:tr>
        <w:trPr>
          <w:cantSplit/>
        </w:trPr>
        <w:tc>
          <w:tcPr>
            <w:tcW w:type="dxa" w:w="1985"/>
          </w:tcPr>
          <w:p>
            <w:pPr>
              <w:spacing w:after="0"/>
            </w:pPr>
            <w:r>
              <w:rPr>
                <w:sz w:val="18"/>
              </w:rPr>
              <w:t>Resend</w:t>
            </w:r>
          </w:p>
        </w:tc>
        <w:tc>
          <w:tcPr>
            <w:tcW w:type="dxa" w:w="2856"/>
          </w:tcPr>
          <w:p>
            <w:pPr>
              <w:spacing w:after="0"/>
            </w:pPr>
            <w:r>
              <w:rPr>
                <w:sz w:val="18"/>
              </w:rPr>
              <w:t>Sends invitation emails</w:t>
            </w:r>
          </w:p>
        </w:tc>
        <w:tc>
          <w:tcPr>
            <w:tcW w:type="dxa" w:w="2746"/>
          </w:tcPr>
          <w:p>
            <w:pPr>
              <w:spacing w:after="0"/>
            </w:pPr>
            <w:r>
              <w:rPr>
                <w:sz w:val="18"/>
              </w:rPr>
              <w:t>Invitation details</w:t>
            </w:r>
          </w:p>
        </w:tc>
        <w:tc>
          <w:tcPr>
            <w:tcW w:type="dxa" w:w="1380"/>
          </w:tcPr>
          <w:p>
            <w:pPr>
              <w:spacing w:after="0"/>
            </w:pPr>
            <w:r>
              <w:rPr>
                <w:sz w:val="18"/>
              </w:rPr>
              <w:t>2</w:t>
            </w:r>
          </w:p>
        </w:tc>
        <w:tc>
          <w:tcPr>
            <w:tcW w:type="dxa" w:w="1401"/>
          </w:tcPr>
          <w:p>
            <w:pPr>
              <w:spacing w:after="0"/>
            </w:pPr>
            <w:hyperlink r:id="rId13">
              <w:r>
                <w:rPr>
                  <w:color w:val="1d4ed8"/>
                  <w:sz w:val="18"/>
                  <w:u w:val="single"/>
                </w:rPr>
                <w:t xml:space="preserve">Privacy Policy</w:t>
              </w:r>
            </w:hyperlink>
            <w:r>
              <w:rPr>
                <w:sz w:val="18"/>
              </w:rPr>
              <w:t xml:space="preserve"> §2.6, §4.6</w:t>
            </w:r>
          </w:p>
        </w:tc>
      </w:tr>
      <w:tr>
        <w:trPr>
          <w:cantSplit/>
        </w:trPr>
        <w:tc>
          <w:tcPr>
            <w:tcW w:type="dxa" w:w="1985"/>
            <w:shd w:val="clear" w:color="auto" w:fill="f1f5f9"/>
          </w:tcPr>
          <w:p>
            <w:pPr>
              <w:spacing w:after="0"/>
            </w:pPr>
            <w:r>
              <w:rPr>
                <w:sz w:val="18"/>
              </w:rPr>
              <w:t>Microsoft (Exchange Online)</w:t>
            </w:r>
          </w:p>
        </w:tc>
        <w:tc>
          <w:tcPr>
            <w:tcW w:type="dxa" w:w="2856"/>
            <w:shd w:val="clear" w:color="auto" w:fill="f1f5f9"/>
          </w:tcPr>
          <w:p>
            <w:pPr>
              <w:spacing w:after="0"/>
            </w:pPr>
            <w:r>
              <w:rPr>
                <w:sz w:val="18"/>
              </w:rPr>
              <w:t xml:space="preserve">Hosts the operator's </w:t>
            </w:r>
            <w:hyperlink r:id="rId22">
              <w:r>
                <w:rPr>
                  <w:color w:val="1d4ed8"/>
                  <w:sz w:val="18"/>
                  <w:u w:val="single"/>
                </w:rPr>
                <w:t xml:space="preserve">spertsuite.com</w:t>
              </w:r>
            </w:hyperlink>
            <w:r>
              <w:rPr>
                <w:sz w:val="18"/>
              </w:rPr>
              <w:t xml:space="preserve"> mailbox</w:t>
            </w:r>
          </w:p>
        </w:tc>
        <w:tc>
          <w:tcPr>
            <w:tcW w:type="dxa" w:w="2746"/>
            <w:shd w:val="clear" w:color="auto" w:fill="f1f5f9"/>
          </w:tcPr>
          <w:p>
            <w:pPr>
              <w:spacing w:after="0"/>
            </w:pPr>
            <w:r>
              <w:rPr>
                <w:sz w:val="18"/>
              </w:rPr>
              <w:t xml:space="preserve">Email sent to </w:t>
            </w:r>
            <w:hyperlink r:id="rId22">
              <w:r>
                <w:rPr>
                  <w:color w:val="1d4ed8"/>
                  <w:sz w:val="18"/>
                  <w:u w:val="single"/>
                </w:rPr>
                <w:t xml:space="preserve">spertsuite.com</w:t>
              </w:r>
            </w:hyperlink>
            <w:r>
              <w:rPr>
                <w:sz w:val="18"/>
              </w:rPr>
              <w:t xml:space="preserve"> addresses; form messages</w:t>
            </w:r>
          </w:p>
        </w:tc>
        <w:tc>
          <w:tcPr>
            <w:tcW w:type="dxa" w:w="1380"/>
            <w:shd w:val="clear" w:color="auto" w:fill="f1f5f9"/>
          </w:tcPr>
          <w:p>
            <w:pPr>
              <w:spacing w:after="0"/>
            </w:pPr>
            <w:r>
              <w:rPr>
                <w:sz w:val="18"/>
              </w:rPr>
              <w:t>Website and email only</w:t>
            </w:r>
          </w:p>
        </w:tc>
        <w:tc>
          <w:tcPr>
            <w:tcW w:type="dxa" w:w="1401"/>
            <w:shd w:val="clear" w:color="auto" w:fill="f1f5f9"/>
          </w:tcPr>
          <w:p>
            <w:pPr>
              <w:spacing w:after="0"/>
            </w:pPr>
            <w:hyperlink r:id="rId13">
              <w:r>
                <w:rPr>
                  <w:color w:val="1d4ed8"/>
                  <w:sz w:val="18"/>
                  <w:u w:val="single"/>
                </w:rPr>
                <w:t xml:space="preserve">Privacy Policy</w:t>
              </w:r>
            </w:hyperlink>
            <w:r>
              <w:rPr>
                <w:sz w:val="18"/>
              </w:rPr>
              <w:t xml:space="preserve"> §2.7, §4.6</w:t>
            </w:r>
          </w:p>
        </w:tc>
      </w:tr>
      <w:tr>
        <w:trPr>
          <w:cantSplit/>
        </w:trPr>
        <w:tc>
          <w:tcPr>
            <w:tcW w:type="dxa" w:w="1985"/>
          </w:tcPr>
          <w:p>
            <w:pPr>
              <w:spacing w:after="0"/>
            </w:pPr>
            <w:r>
              <w:rPr>
                <w:sz w:val="18"/>
              </w:rPr>
              <w:t>Formspree</w:t>
            </w:r>
          </w:p>
        </w:tc>
        <w:tc>
          <w:tcPr>
            <w:tcW w:type="dxa" w:w="2856"/>
          </w:tcPr>
          <w:p>
            <w:pPr>
              <w:spacing w:after="0"/>
            </w:pPr>
            <w:r>
              <w:rPr>
                <w:sz w:val="18"/>
              </w:rPr>
              <w:t>Delivers website form messages</w:t>
            </w:r>
          </w:p>
        </w:tc>
        <w:tc>
          <w:tcPr>
            <w:tcW w:type="dxa" w:w="2746"/>
          </w:tcPr>
          <w:p>
            <w:pPr>
              <w:spacing w:after="0"/>
            </w:pPr>
            <w:r>
              <w:rPr>
                <w:sz w:val="18"/>
              </w:rPr>
              <w:t>Name, email, message</w:t>
            </w:r>
          </w:p>
        </w:tc>
        <w:tc>
          <w:tcPr>
            <w:tcW w:type="dxa" w:w="1380"/>
          </w:tcPr>
          <w:p>
            <w:pPr>
              <w:spacing w:after="0"/>
            </w:pPr>
            <w:r>
              <w:rPr>
                <w:sz w:val="18"/>
              </w:rPr>
              <w:t>Website only</w:t>
            </w:r>
          </w:p>
        </w:tc>
        <w:tc>
          <w:tcPr>
            <w:tcW w:type="dxa" w:w="1401"/>
          </w:tcPr>
          <w:p>
            <w:pPr>
              <w:spacing w:after="0"/>
            </w:pPr>
            <w:hyperlink r:id="rId13">
              <w:r>
                <w:rPr>
                  <w:color w:val="1d4ed8"/>
                  <w:sz w:val="18"/>
                  <w:u w:val="single"/>
                </w:rPr>
                <w:t xml:space="preserve">Privacy Policy</w:t>
              </w:r>
            </w:hyperlink>
            <w:r>
              <w:rPr>
                <w:sz w:val="18"/>
              </w:rPr>
              <w:t xml:space="preserve"> §2.7, §4.6</w:t>
            </w:r>
          </w:p>
        </w:tc>
      </w:tr>
      <w:tr>
        <w:trPr>
          <w:cantSplit/>
        </w:trPr>
        <w:tc>
          <w:tcPr>
            <w:tcW w:type="dxa" w:w="1985"/>
            <w:shd w:val="clear" w:color="auto" w:fill="f1f5f9"/>
          </w:tcPr>
          <w:p>
            <w:pPr>
              <w:spacing w:after="0"/>
            </w:pPr>
            <w:r>
              <w:rPr>
                <w:sz w:val="18"/>
              </w:rPr>
              <w:t>Stripe</w:t>
            </w:r>
          </w:p>
        </w:tc>
        <w:tc>
          <w:tcPr>
            <w:tcW w:type="dxa" w:w="2856"/>
            <w:shd w:val="clear" w:color="auto" w:fill="f1f5f9"/>
          </w:tcPr>
          <w:p>
            <w:pPr>
              <w:spacing w:after="0"/>
            </w:pPr>
            <w:r>
              <w:rPr>
                <w:sz w:val="18"/>
              </w:rPr>
              <w:t>Payments, "if subscription payments are implemented"</w:t>
            </w:r>
          </w:p>
        </w:tc>
        <w:tc>
          <w:tcPr>
            <w:tcW w:type="dxa" w:w="2746"/>
            <w:shd w:val="clear" w:color="auto" w:fill="f1f5f9"/>
          </w:tcPr>
          <w:p>
            <w:pPr>
              <w:spacing w:after="0"/>
            </w:pPr>
            <w:r>
              <w:rPr>
                <w:sz w:val="18"/>
              </w:rPr>
              <w:t>Nothing today: there is no paid tier</w:t>
            </w:r>
          </w:p>
        </w:tc>
        <w:tc>
          <w:tcPr>
            <w:tcW w:type="dxa" w:w="1380"/>
            <w:shd w:val="clear" w:color="auto" w:fill="f1f5f9"/>
          </w:tcPr>
          <w:p>
            <w:pPr>
              <w:spacing w:after="0"/>
            </w:pPr>
            <w:r>
              <w:rPr>
                <w:sz w:val="18"/>
              </w:rPr>
              <w:t>n/a</w:t>
            </w:r>
          </w:p>
        </w:tc>
        <w:tc>
          <w:tcPr>
            <w:tcW w:type="dxa" w:w="1401"/>
            <w:shd w:val="clear" w:color="auto" w:fill="f1f5f9"/>
          </w:tcPr>
          <w:p>
            <w:pPr>
              <w:spacing w:after="0"/>
            </w:pPr>
            <w:hyperlink r:id="rId13">
              <w:r>
                <w:rPr>
                  <w:color w:val="1d4ed8"/>
                  <w:sz w:val="18"/>
                  <w:u w:val="single"/>
                </w:rPr>
                <w:t xml:space="preserve">Privacy Policy</w:t>
              </w:r>
            </w:hyperlink>
            <w:r>
              <w:rPr>
                <w:sz w:val="18"/>
              </w:rPr>
              <w:t xml:space="preserve"> §4.2</w:t>
            </w:r>
          </w:p>
        </w:tc>
      </w:tr>
      <w:tr>
        <w:trPr>
          <w:cantSplit/>
        </w:trPr>
        <w:tc>
          <w:tcPr>
            <w:tcW w:type="dxa" w:w="1985"/>
          </w:tcPr>
          <w:p>
            <w:pPr>
              <w:spacing w:after="0"/>
            </w:pPr>
            <w:r>
              <w:rPr>
                <w:sz w:val="18"/>
              </w:rPr>
              <w:t>The user's AI provider</w:t>
            </w:r>
          </w:p>
        </w:tc>
        <w:tc>
          <w:tcPr>
            <w:tcW w:type="dxa" w:w="2856"/>
          </w:tcPr>
          <w:p>
            <w:pPr>
              <w:spacing w:after="0"/>
            </w:pPr>
            <w:r>
              <w:rPr>
                <w:sz w:val="18"/>
              </w:rPr>
              <w:t>Not a service provider of the operator; chosen by the user</w:t>
            </w:r>
          </w:p>
        </w:tc>
        <w:tc>
          <w:tcPr>
            <w:tcW w:type="dxa" w:w="2746"/>
          </w:tcPr>
          <w:p>
            <w:pPr>
              <w:spacing w:after="0"/>
            </w:pPr>
            <w:r>
              <w:rPr>
                <w:sz w:val="18"/>
              </w:rPr>
              <w:t>Prompts; Read Mode snapshots</w:t>
            </w:r>
          </w:p>
        </w:tc>
        <w:tc>
          <w:tcPr>
            <w:tcW w:type="dxa" w:w="1380"/>
          </w:tcPr>
          <w:p>
            <w:pPr>
              <w:spacing w:after="0"/>
            </w:pPr>
            <w:r>
              <w:rPr>
                <w:sz w:val="18"/>
              </w:rPr>
              <w:t>3</w:t>
            </w:r>
          </w:p>
        </w:tc>
        <w:tc>
          <w:tcPr>
            <w:tcW w:type="dxa" w:w="1401"/>
          </w:tcPr>
          <w:p>
            <w:pPr>
              <w:spacing w:after="0"/>
            </w:pPr>
            <w:hyperlink r:id="rId13">
              <w:r>
                <w:rPr>
                  <w:color w:val="1d4ed8"/>
                  <w:sz w:val="18"/>
                  <w:u w:val="single"/>
                </w:rPr>
                <w:t xml:space="preserve">Privacy Policy</w:t>
              </w:r>
            </w:hyperlink>
            <w:r>
              <w:rPr>
                <w:sz w:val="18"/>
              </w:rPr>
              <w:t xml:space="preserve"> §4.5</w:t>
            </w:r>
          </w:p>
        </w:tc>
      </w:tr>
    </w:tbl>
    <w:p>
      <w:pPr>
        <w:spacing w:after="40"/>
      </w:pPr>
    </w:p>
    <w:p>
      <w:r>
        <w:rPr/>
        <w:t>Google Cloud and Vercel publish their own security and compliance information. Those reports cover their infrastructure, not SPERT</w:t>
      </w:r>
      <w:r>
        <w:rPr>
          <w:vertAlign w:val="superscript"/>
        </w:rPr>
        <w:t>®</w:t>
      </w:r>
      <w:r>
        <w:rPr/>
        <w:t xml:space="preserve"> Suite's code, and this document does not restate them: </w:t>
      </w:r>
      <w:r>
        <w:rPr>
          <w:highlight w:val="yellow"/>
        </w:rPr>
        <w:t>[REVIEWING TEAM]</w:t>
      </w:r>
      <w:r>
        <w:rPr/>
        <w:t xml:space="preserve"> should read the current versions directly. The operator holds no certification of its own.</w:t>
      </w:r>
    </w:p>
    <w:p>
      <w:pPr>
        <w:pStyle w:val="Heading2"/>
      </w:pPr>
      <w:r>
        <w:rPr/>
        <w:t>8. Security controls</w:t>
      </w:r>
    </w:p>
    <w:tbl>
      <w:tblPr>
        <w:tblW w:type="auto" w:w="0"/>
        <w:jc w:val="center"/>
        <w:tblBorders>
          <w:top w:val="single" w:sz="4" w:color="e2e8f0"/>
          <w:left w:val="single" w:sz="4" w:color="e2e8f0"/>
          <w:bottom w:val="single" w:sz="4" w:color="e2e8f0"/>
          <w:right w:val="single" w:sz="4" w:color="e2e8f0"/>
          <w:insideH w:val="single" w:sz="4" w:color="e2e8f0"/>
          <w:insideV w:val="nil"/>
        </w:tblBorders>
        <w:tblLayout w:type="fixed"/>
        <w:tblCellMar>
          <w:top w:w="60" w:type="dxa"/>
          <w:left w:w="100" w:type="dxa"/>
          <w:bottom w:w="60" w:type="dxa"/>
          <w:right w:w="100" w:type="dxa"/>
        </w:tblCellMar>
        <w:tblLook w:firstColumn="1" w:firstRow="1" w:lastColumn="0" w:lastRow="0" w:noHBand="0" w:noVBand="1" w:val="04A0"/>
      </w:tblPr>
      <w:tblGrid>
        <w:gridCol w:w="3174"/>
        <w:gridCol w:w="6555"/>
        <w:gridCol w:w="639"/>
      </w:tblGrid>
      <w:tr>
        <w:trPr>
          <w:cantSplit/>
          <w:tblHeader w:val="true"/>
        </w:trPr>
        <w:tc>
          <w:tcPr>
            <w:tcW w:type="dxa" w:w="3174"/>
            <w:shd w:val="clear" w:color="auto" w:fill="1d4ed8"/>
          </w:tcPr>
          <w:p>
            <w:pPr>
              <w:spacing w:after="0"/>
            </w:pPr>
            <w:r>
              <w:rPr>
                <w:b/>
                <w:color w:val="FFFFFF"/>
                <w:sz w:val="18"/>
              </w:rPr>
              <w:t>Control</w:t>
            </w:r>
          </w:p>
        </w:tc>
        <w:tc>
          <w:tcPr>
            <w:tcW w:type="dxa" w:w="6555"/>
            <w:shd w:val="clear" w:color="auto" w:fill="1d4ed8"/>
          </w:tcPr>
          <w:p>
            <w:pPr>
              <w:spacing w:after="0"/>
            </w:pPr>
            <w:r>
              <w:rPr>
                <w:b/>
                <w:color w:val="FFFFFF"/>
                <w:sz w:val="18"/>
              </w:rPr>
              <w:t>How it works</w:t>
            </w:r>
          </w:p>
        </w:tc>
        <w:tc>
          <w:tcPr>
            <w:tcW w:type="dxa" w:w="639"/>
            <w:shd w:val="clear" w:color="auto" w:fill="1d4ed8"/>
          </w:tcPr>
          <w:p>
            <w:pPr>
              <w:spacing w:after="0"/>
            </w:pPr>
            <w:r>
              <w:rPr>
                <w:b/>
                <w:color w:val="FFFFFF"/>
                <w:sz w:val="18"/>
              </w:rPr>
              <w:t>Tier</w:t>
            </w:r>
          </w:p>
        </w:tc>
      </w:tr>
      <w:tr>
        <w:trPr>
          <w:cantSplit/>
        </w:trPr>
        <w:tc>
          <w:tcPr>
            <w:tcW w:type="dxa" w:w="3174"/>
          </w:tcPr>
          <w:p>
            <w:pPr>
              <w:spacing w:after="0"/>
            </w:pPr>
            <w:r>
              <w:rPr>
                <w:sz w:val="18"/>
              </w:rPr>
              <w:t>Local-first design</w:t>
            </w:r>
          </w:p>
        </w:tc>
        <w:tc>
          <w:tcPr>
            <w:tcW w:type="dxa" w:w="6555"/>
          </w:tcPr>
          <w:p>
            <w:pPr>
              <w:spacing w:after="0"/>
            </w:pPr>
            <w:r>
              <w:rPr>
                <w:sz w:val="18"/>
              </w:rPr>
              <w:t>Project data stays in the browser unless the user turns on cloud storage or Connect AI Read Mode</w:t>
            </w:r>
          </w:p>
        </w:tc>
        <w:tc>
          <w:tcPr>
            <w:tcW w:type="dxa" w:w="639"/>
          </w:tcPr>
          <w:p>
            <w:pPr>
              <w:spacing w:after="0"/>
            </w:pPr>
            <w:r>
              <w:rPr>
                <w:sz w:val="18"/>
              </w:rPr>
              <w:t>1</w:t>
            </w:r>
          </w:p>
        </w:tc>
      </w:tr>
      <w:tr>
        <w:trPr>
          <w:cantSplit/>
        </w:trPr>
        <w:tc>
          <w:tcPr>
            <w:tcW w:type="dxa" w:w="3174"/>
            <w:shd w:val="clear" w:color="auto" w:fill="f1f5f9"/>
          </w:tcPr>
          <w:p>
            <w:pPr>
              <w:spacing w:after="0"/>
            </w:pPr>
            <w:r>
              <w:rPr>
                <w:sz w:val="18"/>
              </w:rPr>
              <w:t>No passwords</w:t>
            </w:r>
          </w:p>
        </w:tc>
        <w:tc>
          <w:tcPr>
            <w:tcW w:type="dxa" w:w="6555"/>
            <w:shd w:val="clear" w:color="auto" w:fill="f1f5f9"/>
          </w:tcPr>
          <w:p>
            <w:pPr>
              <w:spacing w:after="0"/>
            </w:pPr>
            <w:r>
              <w:rPr>
                <w:sz w:val="18"/>
              </w:rPr>
              <w:t xml:space="preserve">Sign-in only through Google or Microsoft; </w:t>
            </w:r>
            <w:r>
              <w:rPr>
                <w:sz w:val="18"/>
                <w:highlight w:val="yellow"/>
              </w:rPr>
              <w:t>[ORGANIZATION]</w:t>
            </w:r>
            <w:r>
              <w:rPr>
                <w:sz w:val="18"/>
              </w:rPr>
              <w:t>'s own MFA and conditional access apply to work accounts</w:t>
            </w:r>
          </w:p>
        </w:tc>
        <w:tc>
          <w:tcPr>
            <w:tcW w:type="dxa" w:w="639"/>
            <w:shd w:val="clear" w:color="auto" w:fill="f1f5f9"/>
          </w:tcPr>
          <w:p>
            <w:pPr>
              <w:spacing w:after="0"/>
            </w:pPr>
            <w:r>
              <w:rPr>
                <w:sz w:val="18"/>
              </w:rPr>
              <w:t>2</w:t>
            </w:r>
          </w:p>
        </w:tc>
      </w:tr>
      <w:tr>
        <w:trPr>
          <w:cantSplit/>
        </w:trPr>
        <w:tc>
          <w:tcPr>
            <w:tcW w:type="dxa" w:w="3174"/>
          </w:tcPr>
          <w:p>
            <w:pPr>
              <w:spacing w:after="0"/>
            </w:pPr>
            <w:r>
              <w:rPr>
                <w:sz w:val="18"/>
              </w:rPr>
              <w:t>Encryption in transit</w:t>
            </w:r>
          </w:p>
        </w:tc>
        <w:tc>
          <w:tcPr>
            <w:tcW w:type="dxa" w:w="6555"/>
          </w:tcPr>
          <w:p>
            <w:pPr>
              <w:spacing w:after="0"/>
            </w:pPr>
            <w:r>
              <w:rPr>
                <w:sz w:val="18"/>
              </w:rPr>
              <w:t>HTTPS for all traffic (</w:t>
            </w:r>
            <w:hyperlink r:id="rId13">
              <w:r>
                <w:rPr>
                  <w:color w:val="1d4ed8"/>
                  <w:sz w:val="18"/>
                  <w:u w:val="single"/>
                </w:rPr>
                <w:t xml:space="preserve">Privacy Policy</w:t>
              </w:r>
            </w:hyperlink>
            <w:r>
              <w:rPr>
                <w:sz w:val="18"/>
              </w:rPr>
              <w:t xml:space="preserve"> §5)</w:t>
            </w:r>
          </w:p>
        </w:tc>
        <w:tc>
          <w:tcPr>
            <w:tcW w:type="dxa" w:w="639"/>
          </w:tcPr>
          <w:p>
            <w:pPr>
              <w:spacing w:after="0"/>
            </w:pPr>
            <w:r>
              <w:rPr>
                <w:sz w:val="18"/>
              </w:rPr>
              <w:t>All</w:t>
            </w:r>
          </w:p>
        </w:tc>
      </w:tr>
      <w:tr>
        <w:trPr>
          <w:cantSplit/>
        </w:trPr>
        <w:tc>
          <w:tcPr>
            <w:tcW w:type="dxa" w:w="3174"/>
            <w:shd w:val="clear" w:color="auto" w:fill="f1f5f9"/>
          </w:tcPr>
          <w:p>
            <w:pPr>
              <w:spacing w:after="0"/>
            </w:pPr>
            <w:r>
              <w:rPr>
                <w:sz w:val="18"/>
              </w:rPr>
              <w:t>Encryption at rest</w:t>
            </w:r>
          </w:p>
        </w:tc>
        <w:tc>
          <w:tcPr>
            <w:tcW w:type="dxa" w:w="6555"/>
            <w:shd w:val="clear" w:color="auto" w:fill="f1f5f9"/>
          </w:tcPr>
          <w:p>
            <w:pPr>
              <w:spacing w:after="0"/>
            </w:pPr>
            <w:r>
              <w:rPr>
                <w:sz w:val="18"/>
              </w:rPr>
              <w:t xml:space="preserve">The </w:t>
            </w:r>
            <w:hyperlink r:id="rId13">
              <w:r>
                <w:rPr>
                  <w:color w:val="1d4ed8"/>
                  <w:sz w:val="18"/>
                  <w:u w:val="single"/>
                </w:rPr>
                <w:t xml:space="preserve">Privacy Policy</w:t>
              </w:r>
            </w:hyperlink>
            <w:r>
              <w:rPr>
                <w:sz w:val="18"/>
              </w:rPr>
              <w:t xml:space="preserve"> does not make a separate statement; data at rest relies on Google Cloud's infrastructure controls (§5). No customer-managed keys</w:t>
            </w:r>
          </w:p>
        </w:tc>
        <w:tc>
          <w:tcPr>
            <w:tcW w:type="dxa" w:w="639"/>
            <w:shd w:val="clear" w:color="auto" w:fill="f1f5f9"/>
          </w:tcPr>
          <w:p>
            <w:pPr>
              <w:spacing w:after="0"/>
            </w:pPr>
            <w:r>
              <w:rPr>
                <w:sz w:val="18"/>
              </w:rPr>
              <w:t>2, 3</w:t>
            </w:r>
          </w:p>
        </w:tc>
      </w:tr>
      <w:tr>
        <w:trPr>
          <w:cantSplit/>
        </w:trPr>
        <w:tc>
          <w:tcPr>
            <w:tcW w:type="dxa" w:w="3174"/>
          </w:tcPr>
          <w:p>
            <w:pPr>
              <w:spacing w:after="0"/>
            </w:pPr>
            <w:r>
              <w:rPr>
                <w:sz w:val="18"/>
              </w:rPr>
              <w:t>Access control</w:t>
            </w:r>
          </w:p>
        </w:tc>
        <w:tc>
          <w:tcPr>
            <w:tcW w:type="dxa" w:w="6555"/>
          </w:tcPr>
          <w:p>
            <w:pPr>
              <w:spacing w:after="0"/>
            </w:pPr>
            <w:r>
              <w:rPr>
                <w:sz w:val="18"/>
              </w:rPr>
              <w:t>Firestore security rules: members only, by role; owner-only deletion. One rules file, deployed from source control and drift-checked every six hours</w:t>
            </w:r>
          </w:p>
        </w:tc>
        <w:tc>
          <w:tcPr>
            <w:tcW w:type="dxa" w:w="639"/>
          </w:tcPr>
          <w:p>
            <w:pPr>
              <w:spacing w:after="0"/>
            </w:pPr>
            <w:r>
              <w:rPr>
                <w:sz w:val="18"/>
              </w:rPr>
              <w:t>2, 3</w:t>
            </w:r>
          </w:p>
        </w:tc>
      </w:tr>
      <w:tr>
        <w:trPr>
          <w:cantSplit/>
        </w:trPr>
        <w:tc>
          <w:tcPr>
            <w:tcW w:type="dxa" w:w="3174"/>
            <w:shd w:val="clear" w:color="auto" w:fill="f1f5f9"/>
          </w:tcPr>
          <w:p>
            <w:pPr>
              <w:spacing w:after="0"/>
            </w:pPr>
            <w:r>
              <w:rPr>
                <w:sz w:val="18"/>
              </w:rPr>
              <w:t>Connect AI consent</w:t>
            </w:r>
          </w:p>
        </w:tc>
        <w:tc>
          <w:tcPr>
            <w:tcW w:type="dxa" w:w="6555"/>
            <w:shd w:val="clear" w:color="auto" w:fill="f1f5f9"/>
          </w:tcPr>
          <w:p>
            <w:pPr>
              <w:spacing w:after="0"/>
            </w:pPr>
            <w:r>
              <w:rPr>
                <w:sz w:val="18"/>
              </w:rPr>
              <w:t>Opt-in each time; separate consent per app and per browser; Read Mode is a separate choice</w:t>
            </w:r>
          </w:p>
        </w:tc>
        <w:tc>
          <w:tcPr>
            <w:tcW w:type="dxa" w:w="639"/>
            <w:shd w:val="clear" w:color="auto" w:fill="f1f5f9"/>
          </w:tcPr>
          <w:p>
            <w:pPr>
              <w:spacing w:after="0"/>
            </w:pPr>
            <w:r>
              <w:rPr>
                <w:sz w:val="18"/>
              </w:rPr>
              <w:t>3</w:t>
            </w:r>
          </w:p>
        </w:tc>
      </w:tr>
      <w:tr>
        <w:trPr>
          <w:cantSplit/>
        </w:trPr>
        <w:tc>
          <w:tcPr>
            <w:tcW w:type="dxa" w:w="3174"/>
          </w:tcPr>
          <w:p>
            <w:pPr>
              <w:spacing w:after="0"/>
            </w:pPr>
            <w:r>
              <w:rPr>
                <w:sz w:val="18"/>
              </w:rPr>
              <w:t>Connect AI isolation</w:t>
            </w:r>
          </w:p>
        </w:tc>
        <w:tc>
          <w:tcPr>
            <w:tcW w:type="dxa" w:w="6555"/>
          </w:tcPr>
          <w:p>
            <w:pPr>
              <w:spacing w:after="0"/>
            </w:pPr>
            <w:r>
              <w:rPr>
                <w:sz w:val="18"/>
              </w:rPr>
              <w:t>Session bound to one app; only the server writes AI edits; browsers cannot read snapshots back; SPERT</w:t>
            </w:r>
            <w:r>
              <w:rPr>
                <w:sz w:val="18"/>
                <w:vertAlign w:val="superscript"/>
              </w:rPr>
              <w:t>®</w:t>
            </w:r>
            <w:r>
              <w:rPr>
                <w:sz w:val="18"/>
              </w:rPr>
              <w:t xml:space="preserve"> Scheduler re-checks edits in the browser</w:t>
            </w:r>
          </w:p>
        </w:tc>
        <w:tc>
          <w:tcPr>
            <w:tcW w:type="dxa" w:w="639"/>
          </w:tcPr>
          <w:p>
            <w:pPr>
              <w:spacing w:after="0"/>
            </w:pPr>
            <w:r>
              <w:rPr>
                <w:sz w:val="18"/>
              </w:rPr>
              <w:t>3</w:t>
            </w:r>
          </w:p>
        </w:tc>
      </w:tr>
      <w:tr>
        <w:trPr>
          <w:cantSplit/>
        </w:trPr>
        <w:tc>
          <w:tcPr>
            <w:tcW w:type="dxa" w:w="3174"/>
            <w:shd w:val="clear" w:color="auto" w:fill="f1f5f9"/>
          </w:tcPr>
          <w:p>
            <w:pPr>
              <w:spacing w:after="0"/>
            </w:pPr>
            <w:r>
              <w:rPr>
                <w:sz w:val="18"/>
              </w:rPr>
              <w:t>Code transparency</w:t>
            </w:r>
          </w:p>
        </w:tc>
        <w:tc>
          <w:tcPr>
            <w:tcW w:type="dxa" w:w="6555"/>
            <w:shd w:val="clear" w:color="auto" w:fill="f1f5f9"/>
          </w:tcPr>
          <w:p>
            <w:pPr>
              <w:spacing w:after="0"/>
            </w:pPr>
            <w:r>
              <w:rPr>
                <w:sz w:val="18"/>
              </w:rPr>
              <w:t>Public source code (GPL-3.0)</w:t>
            </w:r>
          </w:p>
        </w:tc>
        <w:tc>
          <w:tcPr>
            <w:tcW w:type="dxa" w:w="639"/>
            <w:shd w:val="clear" w:color="auto" w:fill="f1f5f9"/>
          </w:tcPr>
          <w:p>
            <w:pPr>
              <w:spacing w:after="0"/>
            </w:pPr>
            <w:r>
              <w:rPr>
                <w:sz w:val="18"/>
              </w:rPr>
              <w:t>All</w:t>
            </w:r>
          </w:p>
        </w:tc>
      </w:tr>
      <w:tr>
        <w:trPr>
          <w:cantSplit/>
        </w:trPr>
        <w:tc>
          <w:tcPr>
            <w:tcW w:type="dxa" w:w="3174"/>
          </w:tcPr>
          <w:p>
            <w:pPr>
              <w:spacing w:after="0"/>
            </w:pPr>
            <w:r>
              <w:rPr>
                <w:sz w:val="18"/>
              </w:rPr>
              <w:t>Supply chain and code scanning</w:t>
            </w:r>
          </w:p>
        </w:tc>
        <w:tc>
          <w:tcPr>
            <w:tcW w:type="dxa" w:w="6555"/>
          </w:tcPr>
          <w:p>
            <w:pPr>
              <w:spacing w:after="0"/>
            </w:pPr>
            <w:r>
              <w:rPr>
                <w:sz w:val="18"/>
              </w:rPr>
              <w:t>Dependabot alerts, CodeQL code scanning, secret scanning with push protection, and protected main branches on all public repositories (GitHub settings, since 2026-10-25)</w:t>
            </w:r>
          </w:p>
        </w:tc>
        <w:tc>
          <w:tcPr>
            <w:tcW w:type="dxa" w:w="639"/>
          </w:tcPr>
          <w:p>
            <w:pPr>
              <w:spacing w:after="0"/>
            </w:pPr>
            <w:r>
              <w:rPr>
                <w:sz w:val="18"/>
              </w:rPr>
              <w:t>All</w:t>
            </w:r>
          </w:p>
        </w:tc>
      </w:tr>
      <w:tr>
        <w:trPr>
          <w:cantSplit/>
        </w:trPr>
        <w:tc>
          <w:tcPr>
            <w:tcW w:type="dxa" w:w="3174"/>
            <w:shd w:val="clear" w:color="auto" w:fill="f1f5f9"/>
          </w:tcPr>
          <w:p>
            <w:pPr>
              <w:spacing w:after="0"/>
            </w:pPr>
            <w:r>
              <w:rPr>
                <w:sz w:val="18"/>
              </w:rPr>
              <w:t>Vulnerability reporting</w:t>
            </w:r>
          </w:p>
        </w:tc>
        <w:tc>
          <w:tcPr>
            <w:tcW w:type="dxa" w:w="6555"/>
            <w:shd w:val="clear" w:color="auto" w:fill="f1f5f9"/>
          </w:tcPr>
          <w:p>
            <w:pPr>
              <w:spacing w:after="0"/>
            </w:pPr>
            <w:r>
              <w:rPr>
                <w:sz w:val="18"/>
              </w:rPr>
              <w:t xml:space="preserve">Email </w:t>
            </w:r>
            <w:hyperlink r:id="rId27">
              <w:r>
                <w:rPr>
                  <w:color w:val="1d4ed8"/>
                  <w:sz w:val="18"/>
                  <w:u w:val="single"/>
                </w:rPr>
                <w:t xml:space="preserve">security@spertsuite.com</w:t>
              </w:r>
            </w:hyperlink>
            <w:r>
              <w:rPr>
                <w:sz w:val="18"/>
              </w:rPr>
              <w:t>, or use GitHub private vulnerability reporting on each public SPERT</w:t>
            </w:r>
            <w:r>
              <w:rPr>
                <w:sz w:val="18"/>
                <w:vertAlign w:val="superscript"/>
              </w:rPr>
              <w:t>®</w:t>
            </w:r>
            <w:r>
              <w:rPr>
                <w:sz w:val="18"/>
              </w:rPr>
              <w:t xml:space="preserve"> repository. The Security page (</w:t>
            </w:r>
            <w:hyperlink r:id="rId28">
              <w:r>
                <w:rPr>
                  <w:color w:val="1d4ed8"/>
                  <w:sz w:val="18"/>
                  <w:u w:val="single"/>
                </w:rPr>
                <w:t xml:space="preserve">https://spertsuite.com/security</w:t>
              </w:r>
            </w:hyperlink>
            <w:r>
              <w:rPr>
                <w:sz w:val="18"/>
              </w:rPr>
              <w:t xml:space="preserve">) says the operator aims to acknowledge reports within 3 business days, and publishes a short advisory after fixing an issue that could have affected users' data. Machine-readable contacts are at </w:t>
            </w:r>
            <w:hyperlink r:id="rId29">
              <w:r>
                <w:rPr>
                  <w:rFonts w:ascii="Consolas" w:hAnsi="Consolas" w:cs="Consolas"/>
                  <w:color w:val="1d4ed8"/>
                  <w:sz w:val="16"/>
                  <w:u w:val="single"/>
                </w:rPr>
                <w:t xml:space="preserve">https://spertsuite.com/.well-known/security.txt</w:t>
              </w:r>
            </w:hyperlink>
            <w:r>
              <w:rPr>
                <w:sz w:val="18"/>
              </w:rPr>
              <w:t xml:space="preserve"> and </w:t>
            </w:r>
            <w:hyperlink r:id="rId30">
              <w:r>
                <w:rPr>
                  <w:rFonts w:ascii="Consolas" w:hAnsi="Consolas" w:cs="Consolas"/>
                  <w:color w:val="1d4ed8"/>
                  <w:sz w:val="16"/>
                  <w:u w:val="single"/>
                </w:rPr>
                <w:t xml:space="preserve">https://scheduler.spertsuite.com/.well-known/security.txt</w:t>
              </w:r>
            </w:hyperlink>
          </w:p>
        </w:tc>
        <w:tc>
          <w:tcPr>
            <w:tcW w:type="dxa" w:w="639"/>
            <w:shd w:val="clear" w:color="auto" w:fill="f1f5f9"/>
          </w:tcPr>
          <w:p>
            <w:pPr>
              <w:spacing w:after="0"/>
            </w:pPr>
            <w:r>
              <w:rPr>
                <w:sz w:val="18"/>
              </w:rPr>
              <w:t>All</w:t>
            </w:r>
          </w:p>
        </w:tc>
      </w:tr>
    </w:tbl>
    <w:p>
      <w:pPr>
        <w:spacing w:after="40"/>
      </w:pPr>
    </w:p>
    <w:p>
      <w:pPr>
        <w:pStyle w:val="Heading2"/>
      </w:pPr>
      <w:r>
        <w:rPr/>
        <w:t>9. What the architecture does not provide</w:t>
      </w:r>
    </w:p>
    <w:p>
      <w:pPr>
        <w:numPr>
          <w:ilvl w:val="0"/>
          <w:numId w:val="9000"/>
        </w:numPr>
        <w:spacing w:after="40"/>
      </w:pPr>
      <w:r>
        <w:rPr>
          <w:b/>
        </w:rPr>
        <w:t>No enterprise administration.</w:t>
      </w:r>
      <w:r>
        <w:rPr/>
        <w:t xml:space="preserve"> There is no admin console, single-sign-on enforcement, user provisioning (SCIM), organization-wide export or tenant separation. All users' cloud data shares one database, separated by rules.</w:t>
      </w:r>
    </w:p>
    <w:p>
      <w:pPr>
        <w:numPr>
          <w:ilvl w:val="0"/>
          <w:numId w:val="9000"/>
        </w:numPr>
        <w:spacing w:after="40"/>
      </w:pPr>
      <w:r>
        <w:rPr>
          <w:b/>
        </w:rPr>
        <w:t>No switch to turn Connect AI off for an organization.</w:t>
      </w:r>
      <w:r>
        <w:rPr/>
        <w:t xml:space="preserve"> Consent is per user, per app and per browser. Three apps never offer Connect AI, and SPERT</w:t>
      </w:r>
      <w:r>
        <w:rPr>
          <w:vertAlign w:val="superscript"/>
        </w:rPr>
        <w:t>®</w:t>
      </w:r>
      <w:r>
        <w:rPr/>
        <w:t xml:space="preserve"> Forecaster's connection is read-only.</w:t>
      </w:r>
    </w:p>
    <w:p>
      <w:pPr>
        <w:numPr>
          <w:ilvl w:val="0"/>
          <w:numId w:val="9000"/>
        </w:numPr>
        <w:spacing w:after="40"/>
      </w:pPr>
      <w:r>
        <w:rPr>
          <w:b/>
        </w:rPr>
        <w:t>No audit log</w:t>
      </w:r>
      <w:r>
        <w:rPr/>
        <w:t xml:space="preserve"> of user or administrator actions.</w:t>
      </w:r>
    </w:p>
    <w:p>
      <w:pPr>
        <w:numPr>
          <w:ilvl w:val="0"/>
          <w:numId w:val="9000"/>
        </w:numPr>
        <w:spacing w:after="40"/>
      </w:pPr>
      <w:r>
        <w:rPr>
          <w:b/>
        </w:rPr>
        <w:t>United States only</w:t>
      </w:r>
      <w:r>
        <w:rPr/>
        <w:t xml:space="preserve"> for cloud data at rest; operational logs are not region-restricted.</w:t>
      </w:r>
    </w:p>
    <w:p>
      <w:pPr>
        <w:numPr>
          <w:ilvl w:val="0"/>
          <w:numId w:val="9000"/>
        </w:numPr>
        <w:spacing w:after="40"/>
      </w:pPr>
      <w:r>
        <w:rPr>
          <w:b/>
        </w:rPr>
        <w:t>No SLA.</w:t>
      </w:r>
      <w:r>
        <w:rPr/>
        <w:t xml:space="preserve"> The service is provided as-is by a single operator, and the </w:t>
      </w:r>
      <w:hyperlink r:id="rId12">
        <w:r>
          <w:rPr>
            <w:color w:val="1d4ed8"/>
            <w:u w:val="single"/>
          </w:rPr>
          <w:t xml:space="preserve">Terms of Service</w:t>
        </w:r>
      </w:hyperlink>
      <w:r>
        <w:rPr/>
        <w:t xml:space="preserve"> (§9) cap liability.</w:t>
      </w:r>
    </w:p>
    <w:p>
      <w:pPr>
        <w:numPr>
          <w:ilvl w:val="0"/>
          <w:numId w:val="9000"/>
        </w:numPr>
        <w:spacing w:after="120"/>
      </w:pPr>
      <w:r>
        <w:rPr>
          <w:b/>
        </w:rPr>
        <w:t>No independent audit, certification or penetration test.</w:t>
      </w:r>
      <w:r>
        <w:rPr/>
        <w:t xml:space="preserve"> Security reviews to date are the developer's own.</w:t>
      </w:r>
    </w:p>
    <w:p>
      <w:r>
        <w:rPr/>
        <w:t>Tier 1 is the compensating control: in local-only use, none of these applies to project data.</w:t>
      </w:r>
    </w:p>
    <w:p>
      <w:pPr>
        <w:pStyle w:val="Heading2"/>
      </w:pPr>
      <w:r>
        <w:rPr/>
        <w:t>Reviewer notes</w:t>
      </w:r>
    </w:p>
    <w:p>
      <w:pPr>
        <w:numPr>
          <w:ilvl w:val="0"/>
          <w:numId w:val="9000"/>
        </w:numPr>
        <w:spacing w:after="40"/>
      </w:pPr>
      <w:r>
        <w:rPr>
          <w:b/>
        </w:rPr>
        <w:t>"It's open source, so nobody has reviewed it."</w:t>
      </w:r>
      <w:r>
        <w:rPr/>
        <w:t xml:space="preserve"> Open source lets </w:t>
      </w:r>
      <w:r>
        <w:rPr>
          <w:highlight w:val="yellow"/>
        </w:rPr>
        <w:t>[REVIEWING TEAM]</w:t>
      </w:r>
      <w:r>
        <w:rPr/>
        <w:t xml:space="preserve"> review it, but no independent assessment has been done. The developer runs self-reviews: a suite-wide self-review was completed on 2026-10-25, and its fixes are being released in stages. SPERT</w:t>
      </w:r>
      <w:r>
        <w:rPr>
          <w:vertAlign w:val="superscript"/>
        </w:rPr>
        <w:t>®</w:t>
      </w:r>
      <w:r>
        <w:rPr/>
        <w:t xml:space="preserve"> Scheduler has had the most recent fixes, which is why the kit's </w:t>
      </w:r>
      <w:r>
        <w:rPr>
          <w:i/>
        </w:rPr>
        <w:t>Security Questionnaire Answer Sheet</w:t>
      </w:r>
      <w:r>
        <w:rPr/>
        <w:t xml:space="preserve"> covers that app only. </w:t>
      </w:r>
    </w:p>
    <w:p>
      <w:pPr>
        <w:numPr>
          <w:ilvl w:val="0"/>
          <w:numId w:val="9000"/>
        </w:numPr>
        <w:spacing w:after="40"/>
      </w:pPr>
      <w:r>
        <w:rPr>
          <w:b/>
        </w:rPr>
        <w:t>"Data leaves our environment."</w:t>
      </w:r>
      <w:r>
        <w:rPr/>
        <w:t xml:space="preserve"> In tier 1 it does not, apart from page requests and Scheduler's optional holiday lookup. In tier 2, data goes to Google Cloud in the United States. In tier 3 with Read Mode, a copy of one project goes to the user's AI provider; </w:t>
      </w:r>
      <w:r>
        <w:rPr>
          <w:highlight w:val="yellow"/>
        </w:rPr>
        <w:t>[ORGANIZATION]</w:t>
      </w:r>
      <w:r>
        <w:rPr/>
        <w:t xml:space="preserve"> can limit this by allowing only an approved </w:t>
      </w:r>
      <w:r>
        <w:rPr>
          <w:highlight w:val="yellow"/>
        </w:rPr>
        <w:t>[AI PLATFORM]</w:t>
      </w:r>
      <w:r>
        <w:rPr/>
        <w:t xml:space="preserve"> account, or by not approving tier 3.</w:t>
      </w:r>
    </w:p>
    <w:p>
      <w:pPr>
        <w:numPr>
          <w:ilvl w:val="0"/>
          <w:numId w:val="9000"/>
        </w:numPr>
        <w:spacing w:after="40"/>
      </w:pPr>
      <w:r>
        <w:rPr>
          <w:b/>
        </w:rPr>
        <w:t>"Can we block Connect AI?"</w:t>
      </w:r>
      <w:r>
        <w:rPr/>
        <w:t xml:space="preserve"> Not inside the apps. If </w:t>
      </w:r>
      <w:r>
        <w:rPr>
          <w:highlight w:val="yellow"/>
        </w:rPr>
        <w:t>[AI PLATFORM]</w:t>
      </w:r>
      <w:r>
        <w:rPr/>
        <w:t xml:space="preserve"> lets administrators restrict which connectors users can add, that is the effective control. Blocking the Connect AI server (</w:t>
      </w:r>
      <w:r>
        <w:rPr>
          <w:rFonts w:ascii="Consolas" w:hAnsi="Consolas"/>
          <w:sz w:val="18"/>
        </w:rPr>
        <w:t>mcp.spertsuite.com</w:t>
      </w:r>
      <w:r>
        <w:rPr/>
        <w:t xml:space="preserve">) on </w:t>
      </w:r>
      <w:r>
        <w:rPr>
          <w:highlight w:val="yellow"/>
        </w:rPr>
        <w:t>[ORGANIZATION]</w:t>
      </w:r>
      <w:r>
        <w:rPr/>
        <w:t>'s network does not work, because the AI provider's servers call it, not the user's device. Starting Connect AI does need the user's browser to call SPERT</w:t>
      </w:r>
      <w:r>
        <w:rPr>
          <w:vertAlign w:val="superscript"/>
        </w:rPr>
        <w:t>®</w:t>
      </w:r>
      <w:r>
        <w:rPr/>
        <w:t xml:space="preserve"> Suite's pairing function at </w:t>
      </w:r>
      <w:r>
        <w:rPr>
          <w:rFonts w:ascii="Consolas" w:hAnsi="Consolas"/>
          <w:sz w:val="18"/>
        </w:rPr>
        <w:t>us-central1-spert-suite.cloudfunctions.net/generatePairingCode</w:t>
      </w:r>
      <w:r>
        <w:rPr/>
        <w:t xml:space="preserve">, so blocking that path, or that whole host (which also stops sharing invitations), may stop Connect AI from starting. This is untested, so </w:t>
      </w:r>
      <w:r>
        <w:rPr>
          <w:highlight w:val="yellow"/>
        </w:rPr>
        <w:t>[ORGANIZATION]</w:t>
      </w:r>
      <w:r>
        <w:rPr/>
        <w:t>'s IT team should test any block it relies on.</w:t>
      </w:r>
    </w:p>
    <w:p>
      <w:pPr>
        <w:numPr>
          <w:ilvl w:val="0"/>
          <w:numId w:val="9000"/>
        </w:numPr>
        <w:spacing w:after="40"/>
      </w:pPr>
      <w:r>
        <w:rPr>
          <w:b/>
        </w:rPr>
        <w:t>"Where are the audit logs?"</w:t>
      </w:r>
      <w:r>
        <w:rPr/>
        <w:t xml:space="preserve"> There are none for users or administrators. Google Cloud keeps operational request logs for 30 days for the operator's use only.</w:t>
      </w:r>
    </w:p>
    <w:p>
      <w:pPr>
        <w:numPr>
          <w:ilvl w:val="0"/>
          <w:numId w:val="9000"/>
        </w:numPr>
        <w:spacing w:after="40"/>
      </w:pPr>
      <w:r>
        <w:rPr>
          <w:b/>
        </w:rPr>
        <w:t>"We've never heard of this vendor."</w:t>
      </w:r>
      <w:r>
        <w:rPr/>
        <w:t xml:space="preserve"> Start small: a tier 1 pilot limits continuity risk, because data stays on the device and can be exported at any time. The GPL also permits self-hosting, although no guide exists and the trademark terms require a renamed version.</w:t>
      </w:r>
    </w:p>
    <w:p>
      <w:pPr>
        <w:numPr>
          <w:ilvl w:val="0"/>
          <w:numId w:val="9000"/>
        </w:numPr>
        <w:spacing w:after="120"/>
      </w:pPr>
      <w:r>
        <w:rPr>
          <w:b/>
        </w:rPr>
        <w:t>Scope and limits of this review.</w:t>
      </w:r>
      <w:r>
        <w:rPr/>
        <w:t xml:space="preserve"> Checked against each app's source at the versions in section 1 and against the shared backend's source. Not verified: live security headers, export formats, Google Cloud's and Vercel's current certifications, and deployed logging settings.</w:t>
      </w:r>
    </w:p>
    <w:sectPr w:rsidR="00FC693F" w:rsidRPr="0006063C" w:rsidSect="00034616">
      <w:footerReference w:type="default" r:id="rId31"/>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75569"/>
        <w:sz w:val="16"/>
      </w:rPr>
      <w:t>SPERT</w:t>
    </w:r>
    <w:r>
      <w:rPr>
        <w:color w:val="475569"/>
        <w:sz w:val="16"/>
        <w:vertAlign w:val="superscript"/>
      </w:rPr>
      <w:t>®</w:t>
    </w:r>
    <w:r>
      <w:rPr>
        <w:color w:val="475569"/>
        <w:sz w:val="16"/>
      </w:rPr>
      <w:t xml:space="preserve"> Suite Approval Kit v1.0.0 · Architecture Overview · Page </w:t>
    </w:r>
    <w:r>
      <w:rPr>
        <w:color w:val="475569"/>
        <w:sz w:val="16"/>
      </w:rPr>
      <w:fldChar w:fldCharType="begin"/>
    </w:r>
    <w:r>
      <w:rPr>
        <w:color w:val="475569"/>
        <w:sz w:val="16"/>
      </w:rPr>
      <w:instrText xml:space="preserve">PAGE</w:instrText>
    </w:r>
    <w:r>
      <w:rPr>
        <w:color w:val="475569"/>
        <w:sz w:val="16"/>
      </w:rPr>
      <w:fldChar w:fldCharType="end"/>
    </w:r>
    <w:r>
      <w:rPr>
        <w:color w:val="475569"/>
        <w:sz w:val="16"/>
      </w:rPr>
      <w:t xml:space="preserve"> · </w:t>
    </w:r>
    <w:hyperlink r:id="rId1">
      <w:r>
        <w:rPr>
          <w:color w:val="1d4ed8"/>
          <w:sz w:val="16"/>
          <w:u w:val="single"/>
        </w:rPr>
        <w:t xml:space="preserve">spertsuite.com/approval-kit</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00">
    <w:multiLevelType w:val="hybridMultilevel"/>
    <w:lvl w:ilvl="0">
      <w:start w:val="1"/>
      <w:numFmt w:val="bullet"/>
      <w:lvlText w:val="—"/>
      <w:lvlJc w:val="left"/>
      <w:pPr>
        <w:ind w:left="360" w:hanging="300"/>
      </w:pPr>
      <w:rPr>
        <w:rFonts w:ascii="Arial" w:hAnsi="Arial" w:cs="Arial"/>
      </w:rPr>
    </w:lvl>
    <w:lvl w:ilvl="1">
      <w:start w:val="1"/>
      <w:numFmt w:val="bullet"/>
      <w:lvlText w:val="—"/>
      <w:lvlJc w:val="left"/>
      <w:pPr>
        <w:ind w:left="720" w:hanging="300"/>
      </w:pPr>
      <w:rPr>
        <w:rFonts w:ascii="Arial" w:hAnsi="Arial" w:cs="Arial"/>
      </w:rPr>
    </w:lvl>
    <w:lvl w:ilvl="2">
      <w:start w:val="1"/>
      <w:numFmt w:val="bullet"/>
      <w:lvlText w:val="—"/>
      <w:lvlJc w:val="left"/>
      <w:pPr>
        <w:ind w:left="1080" w:hanging="300"/>
      </w:pPr>
      <w:rPr>
        <w:rFonts w:ascii="Arial" w:hAnsi="Arial" w:cs="Arial"/>
      </w:rPr>
    </w:lvl>
  </w:abstractNum>
  <w:abstractNum w:abstractNumId="9001">
    <w:multiLevelType w:val="hybridMultilevel"/>
    <w:lvl w:ilvl="0">
      <w:start w:val="1"/>
      <w:numFmt w:val="decimal"/>
      <w:lvlText w:val="%1."/>
      <w:lvlJc w:val="left"/>
      <w:pPr>
        <w:ind w:left="360" w:hanging="300"/>
      </w:pPr>
    </w:lvl>
    <w:lvl w:ilvl="1">
      <w:start w:val="1"/>
      <w:numFmt w:val="decimal"/>
      <w:lvlText w:val="%2."/>
      <w:lvlJc w:val="left"/>
      <w:pPr>
        <w:ind w:left="720" w:hanging="300"/>
      </w:pPr>
    </w:lvl>
    <w:lvl w:ilvl="2">
      <w:start w:val="1"/>
      <w:numFmt w:val="decimal"/>
      <w:lvlText w:val="%3."/>
      <w:lvlJc w:val="left"/>
      <w:pPr>
        <w:ind w:left="1080" w:hanging="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00">
    <w:abstractNumId w:val="9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olor w:val="1E29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b/>
      <w:bCs/>
      <w:i w:val="0"/>
      <w:color w:val="1D4ED8"/>
      <w:sz w:val="26"/>
      <w:szCs w:val="28"/>
    </w:rPr>
  </w:style>
  <w:style w:type="paragraph" w:styleId="Heading2">
    <w:name w:val="heading 2"/>
    <w:basedOn w:val="Normal"/>
    <w:next w:val="Normal"/>
    <w:link w:val="Heading2Char"/>
    <w:uiPriority w:val="9"/>
    <w:unhideWhenUsed/>
    <w:qFormat/>
    <w:rsid w:val="00FC693F"/>
    <w:pPr>
      <w:keepNext/>
      <w:keepLines/>
      <w:shd w:val="clear" w:color="auto" w:fill="1d4ed8"/>
      <w:spacing w:before="280" w:after="120"/>
      <w:jc w:val="center"/>
      <w:outlineLvl w:val="1"/>
    </w:pPr>
    <w:rPr>
      <w:rFonts w:ascii="Arial" w:hAnsi="Arial" w:eastAsia="Arial"/>
      <w:b/>
      <w:bCs/>
      <w:i w:val="0"/>
      <w:caps/>
      <w:color w:val="FFFFFF"/>
      <w:sz w:val="20"/>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b/>
      <w:bCs/>
      <w:i w:val="0"/>
      <w:color w:val="1D4ED8"/>
      <w:sz w:val="22"/>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Arial" w:hAnsi="Arial" w:eastAsia="Arial"/>
      <w:b/>
      <w:bCs/>
      <w:i w:val="0"/>
      <w:iCs/>
      <w:color w:val="1E293B"/>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Arial" w:hAnsi="Arial" w:eastAsia="Arial"/>
      <w:b/>
      <w:i w:val="0"/>
      <w:color w:val="1D4ED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spertsuite.com/approval-kit" TargetMode="External"/><Relationship Id="rId11" Type="http://schemas.openxmlformats.org/officeDocument/2006/relationships/hyperlink" Target="https://github.com/famousdavis/spert-landing" TargetMode="External"/><Relationship Id="rId12" Type="http://schemas.openxmlformats.org/officeDocument/2006/relationships/hyperlink" Target="https://spertsuite.com/TOS.pdf" TargetMode="External"/><Relationship Id="rId13" Type="http://schemas.openxmlformats.org/officeDocument/2006/relationships/hyperlink" Target="https://spertsuite.com/PRIVACY.pdf" TargetMode="External"/><Relationship Id="rId14" Type="http://schemas.openxmlformats.org/officeDocument/2006/relationships/hyperlink" Target="https://spertsuite.com/ai-privacy" TargetMode="External"/><Relationship Id="rId15" Type="http://schemas.openxmlformats.org/officeDocument/2006/relationships/hyperlink" Target="https://spertsuite.com/ai-consent-notice" TargetMode="External"/><Relationship Id="rId16" Type="http://schemas.openxmlformats.org/officeDocument/2006/relationships/hyperlink" Target="https://scheduler.spertsuite.com" TargetMode="External"/><Relationship Id="rId17" Type="http://schemas.openxmlformats.org/officeDocument/2006/relationships/hyperlink" Target="https://storymap.spertsuite.com" TargetMode="External"/><Relationship Id="rId18" Type="http://schemas.openxmlformats.org/officeDocument/2006/relationships/hyperlink" Target="https://forecaster.spertsuite.com" TargetMode="External"/><Relationship Id="rId19" Type="http://schemas.openxmlformats.org/officeDocument/2006/relationships/hyperlink" Target="https://cfd.spertsuite.com" TargetMode="External"/><Relationship Id="rId20" Type="http://schemas.openxmlformats.org/officeDocument/2006/relationships/hyperlink" Target="https://ganttapp.spertsuite.com" TargetMode="External"/><Relationship Id="rId21" Type="http://schemas.openxmlformats.org/officeDocument/2006/relationships/hyperlink" Target="https://myscrumbudget.spertsuite.com" TargetMode="External"/><Relationship Id="rId22" Type="http://schemas.openxmlformats.org/officeDocument/2006/relationships/hyperlink" Target="https://spertsuite.com" TargetMode="External"/><Relationship Id="rId23" Type="http://schemas.openxmlformats.org/officeDocument/2006/relationships/image" Target="media/image2.png"/><Relationship Id="rId24" Type="http://schemas.openxmlformats.org/officeDocument/2006/relationships/image" Target="media/image3.png"/><Relationship Id="rId25" Type="http://schemas.openxmlformats.org/officeDocument/2006/relationships/image" Target="media/image4.png"/><Relationship Id="rId26" Type="http://schemas.openxmlformats.org/officeDocument/2006/relationships/image" Target="media/image5.png"/><Relationship Id="rId27" Type="http://schemas.openxmlformats.org/officeDocument/2006/relationships/hyperlink" Target="mailto:security@spertsuite.com" TargetMode="External"/><Relationship Id="rId28" Type="http://schemas.openxmlformats.org/officeDocument/2006/relationships/hyperlink" Target="https://spertsuite.com/security" TargetMode="External"/><Relationship Id="rId29" Type="http://schemas.openxmlformats.org/officeDocument/2006/relationships/hyperlink" Target="https://spertsuite.com/.well-known/security.txt" TargetMode="External"/><Relationship Id="rId30" Type="http://schemas.openxmlformats.org/officeDocument/2006/relationships/hyperlink" Target="https://scheduler.spertsuite.com/.well-known/security.txt" TargetMode="External"/><Relationship Id="rId3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pertsuite.com/approval-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SPERT® Suite Architecture Overview</dc:title>
  <dc:subject>Components, data flows and trust boundaries for architecture, security and privacy reviewers</dc:subject>
  <dc:creator>William W. Davis, MSPM, PMP</dc:creator>
  <cp:keywords>SPERT Suite; Approval Kit</cp:keywords>
  <dc:description>SPERT® Suite Approval Kit v1.0.0 (Release) · Content reviewed 2026-10-25 · Built 2026-10-26</dc:description>
  <cp:lastModifiedBy/>
  <cp:revision>1</cp:revision>
  <dcterms:created xsi:type="dcterms:W3CDTF">2013-12-23T23:15:00Z</dcterms:created>
  <dcterms:modified xsi:type="dcterms:W3CDTF">2013-12-23T23:15:00Z</dcterms:modified>
  <cp:category/>
  <cp:version>1.0.0</cp:version>
</cp:coreProperties>
</file>