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36"/>
        </w:rPr>
        <w:drawing>
          <wp:inline xmlns:a="http://schemas.openxmlformats.org/drawingml/2006/main" xmlns:pic="http://schemas.openxmlformats.org/drawingml/2006/picture">
            <wp:extent cx="254000" cy="25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36"/>
        </w:rPr>
        <w:t xml:space="preserve">  </w:t>
      </w:r>
      <w:r>
        <w:rPr>
          <w:sz w:val="36"/>
        </w:rPr>
        <w:t>SPERT</w:t>
      </w:r>
      <w:r>
        <w:rPr>
          <w:sz w:val="36"/>
          <w:vertAlign w:val="superscript"/>
        </w:rPr>
        <w:t>®</w:t>
      </w:r>
      <w:r>
        <w:rPr>
          <w:sz w:val="36"/>
        </w:rPr>
        <w:t xml:space="preserve"> Suite: Reviewer Summary</w:t>
      </w:r>
    </w:p>
    <w:p>
      <w:pPr>
        <w:spacing w:after="20"/>
      </w:pPr>
      <w:r>
        <w:rPr>
          <w:b/>
          <w:color w:val="1D4ED8"/>
          <w:sz w:val="18"/>
        </w:rPr>
        <w:t xml:space="preserve">Start here  ·  </w:t>
      </w:r>
      <w:r>
        <w:rPr>
          <w:sz w:val="18"/>
        </w:rPr>
        <w:t>Two-page overview for reviewers: what SPERT</w:t>
      </w:r>
      <w:r>
        <w:rPr>
          <w:sz w:val="18"/>
          <w:vertAlign w:val="superscript"/>
        </w:rPr>
        <w:t>®</w:t>
      </w:r>
      <w:r>
        <w:rPr>
          <w:sz w:val="18"/>
        </w:rPr>
        <w:t xml:space="preserve"> Suite is, the three tiers, key facts and gaps, and where to read more · </w:t>
      </w:r>
      <w:hyperlink r:id="rId10">
        <w:r>
          <w:rPr>
            <w:color w:val="1d4ed8"/>
            <w:sz w:val="18"/>
            <w:u w:val="single"/>
          </w:rPr>
          <w:t xml:space="preserve">spertsuite.com/approval-kit</w:t>
        </w:r>
      </w:hyperlink>
    </w:p>
    <w:p>
      <w:pPr>
        <w:pBdr>
          <w:bottom w:val="single" w:sz="12" w:space="4" w:color="1d4ed8"/>
        </w:pBdr>
      </w:pPr>
      <w:r>
        <w:rPr>
          <w:color w:val="475569"/>
          <w:sz w:val="16"/>
        </w:rPr>
        <w:t>SPERT</w:t>
      </w:r>
      <w:r>
        <w:rPr>
          <w:color w:val="475569"/>
          <w:sz w:val="16"/>
          <w:vertAlign w:val="superscript"/>
        </w:rPr>
        <w:t>®</w:t>
      </w:r>
      <w:r>
        <w:rPr>
          <w:color w:val="475569"/>
          <w:sz w:val="16"/>
        </w:rPr>
        <w:t xml:space="preserve"> Suite Approval Kit v1.0.0 (Release) · Content reviewed 2026-10-25 · Built 2026-10-26</w:t>
      </w:r>
    </w:p>
    <w:p>
      <w:r>
        <w:rPr>
          <w:i/>
        </w:rPr>
        <w:t>Two pages for anyone asked to review SPERT</w:t>
      </w:r>
      <w:r>
        <w:rPr>
          <w:i/>
          <w:vertAlign w:val="superscript"/>
        </w:rPr>
        <w:t>®</w:t>
      </w:r>
      <w:r>
        <w:rPr>
          <w:i/>
        </w:rPr>
        <w:t xml:space="preserve"> Suite for use at </w:t>
      </w:r>
      <w:r>
        <w:rPr>
          <w:i/>
          <w:highlight w:val="yellow"/>
        </w:rPr>
        <w:t>[ORGANIZATION]</w:t>
      </w:r>
      <w:r>
        <w:rPr>
          <w:i/>
        </w:rPr>
        <w:t>. Every fact here is sourced in the longer kit documents named below. This summary supports an approval process; it is not legal, compliance or security advice.</w:t>
      </w:r>
    </w:p>
    <w:p>
      <w:pPr>
        <w:pStyle w:val="Heading2"/>
      </w:pPr>
      <w:r>
        <w:rPr/>
        <w:t>What it is</w:t>
      </w:r>
    </w:p>
    <w:p>
      <w:r>
        <w:rPr/>
        <w:t>SPERT</w:t>
      </w:r>
      <w:r>
        <w:rPr>
          <w:vertAlign w:val="superscript"/>
        </w:rPr>
        <w:t>®</w:t>
      </w:r>
      <w:r>
        <w:rPr/>
        <w:t xml:space="preserve"> Suite is six free planning apps that run in a web browser: SPERT</w:t>
      </w:r>
      <w:r>
        <w:rPr>
          <w:vertAlign w:val="superscript"/>
        </w:rPr>
        <w:t>®</w:t>
      </w:r>
      <w:r>
        <w:rPr/>
        <w:t xml:space="preserve"> Scheduler, SPERT</w:t>
      </w:r>
      <w:r>
        <w:rPr>
          <w:vertAlign w:val="superscript"/>
        </w:rPr>
        <w:t>®</w:t>
      </w:r>
      <w:r>
        <w:rPr/>
        <w:t xml:space="preserve"> Story Map, SPERT</w:t>
      </w:r>
      <w:r>
        <w:rPr>
          <w:vertAlign w:val="superscript"/>
        </w:rPr>
        <w:t>®</w:t>
      </w:r>
      <w:r>
        <w:rPr/>
        <w:t xml:space="preserve"> Forecaster, SPERT</w:t>
      </w:r>
      <w:r>
        <w:rPr>
          <w:vertAlign w:val="superscript"/>
        </w:rPr>
        <w:t>®</w:t>
      </w:r>
      <w:r>
        <w:rPr/>
        <w:t xml:space="preserve"> CFD, GanttApp™ and MyScrumBudget™. They help teams plan, schedule, forecast and budget projects with uncertainty taken into account; several use the Statistical PERT</w:t>
      </w:r>
      <w:r>
        <w:rPr>
          <w:vertAlign w:val="superscript"/>
        </w:rPr>
        <w:t>®</w:t>
      </w:r>
      <w:r>
        <w:rPr/>
        <w:t xml:space="preserve"> technique. Nothing is installed, and planning calculations run on the user's device. The source code is public on GitHub under the GPL-3.0 licence. The operator is famousdavis, LLC, a Florida company run by one person. "Core application functionality is provided at no charge" (</w:t>
      </w:r>
      <w:hyperlink r:id="rId11">
        <w:r>
          <w:rPr>
            <w:color w:val="1d4ed8"/>
            <w:u w:val="single"/>
          </w:rPr>
          <w:t xml:space="preserve">ToS</w:t>
        </w:r>
      </w:hyperlink>
      <w:r>
        <w:rPr/>
        <w:t xml:space="preserve"> §2), on best effort, with no SLA.</w:t>
      </w:r>
    </w:p>
    <w:p>
      <w:pPr>
        <w:pStyle w:val="Heading2"/>
      </w:pPr>
      <w:r>
        <w:rPr/>
        <w:t>Three tiers, approved separately</w:t>
      </w:r>
    </w:p>
    <w:tbl>
      <w:tblPr>
        <w:tblW w:type="auto" w:w="0"/>
        <w:jc w:val="center"/>
        <w:tblBorders>
          <w:top w:val="single" w:sz="4" w:color="e2e8f0"/>
          <w:left w:val="single" w:sz="4" w:color="e2e8f0"/>
          <w:bottom w:val="single" w:sz="4" w:color="e2e8f0"/>
          <w:right w:val="single" w:sz="4" w:color="e2e8f0"/>
          <w:insideH w:val="single" w:sz="4" w:color="e2e8f0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2301"/>
        <w:gridCol w:w="4005"/>
        <w:gridCol w:w="4062"/>
      </w:tblGrid>
      <w:tr>
        <w:trPr>
          <w:cantSplit/>
          <w:tblHeader w:val="true"/>
        </w:trPr>
        <w:tc>
          <w:tcPr>
            <w:tcW w:type="dxa" w:w="2301"/>
            <w:shd w:val="clear" w:color="auto" w:fill="1d4ed8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Tier</w:t>
            </w:r>
          </w:p>
        </w:tc>
        <w:tc>
          <w:tcPr>
            <w:tcW w:type="dxa" w:w="4005"/>
            <w:shd w:val="clear" w:color="auto" w:fill="1d4ed8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What it involves</w:t>
            </w:r>
          </w:p>
        </w:tc>
        <w:tc>
          <w:tcPr>
            <w:tcW w:type="dxa" w:w="4062"/>
            <w:shd w:val="clear" w:color="auto" w:fill="1d4ed8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What leaves the user's device</w:t>
            </w:r>
          </w:p>
        </w:tc>
      </w:tr>
      <w:tr>
        <w:trPr>
          <w:cantSplit/>
        </w:trPr>
        <w:tc>
          <w:tcPr>
            <w:tcW w:type="dxa" w:w="2301"/>
          </w:tcPr>
          <w:p>
            <w:pPr>
              <w:spacing w:after="0"/>
            </w:pPr>
            <w:r>
              <w:rPr>
                <w:b/>
                <w:sz w:val="18"/>
              </w:rPr>
              <w:t>1. Local-only</w:t>
            </w:r>
            <w:r>
              <w:rPr>
                <w:sz w:val="18"/>
              </w:rPr>
              <w:t xml:space="preserve"> (the default)</w:t>
            </w:r>
          </w:p>
        </w:tc>
        <w:tc>
          <w:tcPr>
            <w:tcW w:type="dxa" w:w="4005"/>
          </w:tcPr>
          <w:p>
            <w:pPr>
              <w:spacing w:after="0"/>
            </w:pPr>
            <w:r>
              <w:rPr>
                <w:sz w:val="18"/>
              </w:rPr>
              <w:t>No account. Projects are saved in the browser</w:t>
            </w:r>
          </w:p>
        </w:tc>
        <w:tc>
          <w:tcPr>
            <w:tcW w:type="dxa" w:w="4062"/>
          </w:tcPr>
          <w:p>
            <w:pPr>
              <w:spacing w:after="0"/>
            </w:pPr>
            <w:r>
              <w:rPr>
                <w:sz w:val="18"/>
              </w:rPr>
              <w:t>Page requests to the web host. SPERT</w:t>
            </w:r>
            <w:r>
              <w:rPr>
                <w:sz w:val="18"/>
                <w:vertAlign w:val="superscript"/>
              </w:rPr>
              <w:t>®</w:t>
            </w:r>
            <w:r>
              <w:rPr>
                <w:sz w:val="18"/>
              </w:rPr>
              <w:t xml:space="preserve"> Scheduler's holiday lookup sends a country code and year (</w:t>
            </w:r>
            <w:hyperlink r:id="rId12">
              <w:r>
                <w:rPr>
                  <w:color w:val="1d4ed8"/>
                  <w:sz w:val="18"/>
                  <w:u w:val="single"/>
                </w:rPr>
                <w:t xml:space="preserve">Privacy</w:t>
              </w:r>
            </w:hyperlink>
            <w:r>
              <w:rPr>
                <w:sz w:val="18"/>
              </w:rPr>
              <w:t xml:space="preserve"> §1). No project data.</w:t>
            </w:r>
          </w:p>
        </w:tc>
      </w:tr>
      <w:tr>
        <w:trPr>
          <w:cantSplit/>
        </w:trPr>
        <w:tc>
          <w:tcPr>
            <w:tcW w:type="dxa" w:w="2301"/>
            <w:shd w:val="clear" w:color="auto" w:fill="f1f5f9"/>
          </w:tcPr>
          <w:p>
            <w:pPr>
              <w:spacing w:after="0"/>
            </w:pPr>
            <w:r>
              <w:rPr>
                <w:b/>
                <w:sz w:val="18"/>
              </w:rPr>
              <w:t>2. Cloud storage</w:t>
            </w:r>
            <w:r>
              <w:rPr>
                <w:sz w:val="18"/>
              </w:rPr>
              <w:t xml:space="preserve"> (opt-in)</w:t>
            </w:r>
          </w:p>
        </w:tc>
        <w:tc>
          <w:tcPr>
            <w:tcW w:type="dxa" w:w="4005"/>
            <w:shd w:val="clear" w:color="auto" w:fill="f1f5f9"/>
          </w:tcPr>
          <w:p>
            <w:pPr>
              <w:spacing w:after="0"/>
            </w:pPr>
            <w:r>
              <w:rPr>
                <w:sz w:val="18"/>
              </w:rPr>
              <w:t>Sign-in with Google or Microsoft; projects saved to Google Cloud and optionally shared</w:t>
            </w:r>
          </w:p>
        </w:tc>
        <w:tc>
          <w:tcPr>
            <w:tcW w:type="dxa" w:w="4062"/>
            <w:shd w:val="clear" w:color="auto" w:fill="f1f5f9"/>
          </w:tcPr>
          <w:p>
            <w:pPr>
              <w:spacing w:after="0"/>
            </w:pPr>
            <w:r>
              <w:rPr>
                <w:sz w:val="18"/>
              </w:rPr>
              <w:t>Name, email, saved projects, Terms acceptance record, technical data</w:t>
            </w:r>
          </w:p>
        </w:tc>
      </w:tr>
      <w:tr>
        <w:trPr>
          <w:cantSplit/>
        </w:trPr>
        <w:tc>
          <w:tcPr>
            <w:tcW w:type="dxa" w:w="2301"/>
          </w:tcPr>
          <w:p>
            <w:pPr>
              <w:spacing w:after="0"/>
            </w:pPr>
            <w:r>
              <w:rPr>
                <w:b/>
                <w:sz w:val="18"/>
              </w:rPr>
              <w:t>3. Connect AI</w:t>
            </w:r>
            <w:r>
              <w:rPr>
                <w:sz w:val="18"/>
              </w:rPr>
              <w:t xml:space="preserve"> (opt-in, three apps)</w:t>
            </w:r>
          </w:p>
        </w:tc>
        <w:tc>
          <w:tcPr>
            <w:tcW w:type="dxa" w:w="4005"/>
          </w:tcPr>
          <w:p>
            <w:pPr>
              <w:spacing w:after="0"/>
            </w:pPr>
            <w:r>
              <w:rPr>
                <w:sz w:val="18"/>
              </w:rPr>
              <w:t>The user connects their own AI assistant to one open project. No account needed; works with local or cloud storage</w:t>
            </w:r>
          </w:p>
        </w:tc>
        <w:tc>
          <w:tcPr>
            <w:tcW w:type="dxa" w:w="4062"/>
          </w:tcPr>
          <w:p>
            <w:pPr>
              <w:spacing w:after="0"/>
            </w:pPr>
            <w:r>
              <w:rPr>
                <w:sz w:val="18"/>
              </w:rPr>
              <w:t>AI edits pass through the operator's relay in Google Cloud. With Read Mode on, a copy of the open project is held in that relay and passed to the AI provider</w:t>
            </w:r>
          </w:p>
        </w:tc>
      </w:tr>
    </w:tbl>
    <w:p>
      <w:pPr>
        <w:spacing w:after="40"/>
      </w:pPr>
    </w:p>
    <w:p>
      <w:r>
        <w:rPr/>
        <w:t xml:space="preserve">The numbers are labels, not a ladder: tiers 2 and 3 are separate decisions. Most organizations start with tier 1 only. Approving a tier is a policy decision: the apps have no administrator switch, so the </w:t>
      </w:r>
      <w:r>
        <w:rPr>
          <w:i/>
        </w:rPr>
        <w:t>Approval Guide</w:t>
      </w:r>
      <w:r>
        <w:rPr/>
        <w:t xml:space="preserve"> (section 2) lists technical controls, all untested.</w:t>
      </w:r>
    </w:p>
    <w:p>
      <w:pPr>
        <w:pStyle w:val="Heading2"/>
      </w:pPr>
      <w:r>
        <w:rPr/>
        <w:t>Top facts</w:t>
      </w:r>
    </w:p>
    <w:p>
      <w:pPr>
        <w:numPr>
          <w:ilvl w:val="0"/>
          <w:numId w:val="9000"/>
        </w:numPr>
        <w:spacing w:after="40"/>
      </w:pPr>
      <w:r>
        <w:rPr>
          <w:b/>
        </w:rPr>
        <w:t>Local-only by default.</w:t>
      </w:r>
      <w:r>
        <w:rPr/>
        <w:t xml:space="preserve"> "The Apps do not send project data to the Operator or any third party" when cloud storage is off (</w:t>
      </w:r>
      <w:hyperlink r:id="rId12">
        <w:r>
          <w:rPr>
            <w:color w:val="1d4ed8"/>
            <w:u w:val="single"/>
          </w:rPr>
          <w:t xml:space="preserve">Privacy</w:t>
        </w:r>
      </w:hyperlink>
      <w:r>
        <w:rPr/>
        <w:t xml:space="preserve"> §1).</w:t>
      </w:r>
    </w:p>
    <w:p>
      <w:pPr>
        <w:numPr>
          <w:ilvl w:val="0"/>
          <w:numId w:val="9000"/>
        </w:numPr>
        <w:spacing w:after="40"/>
      </w:pPr>
      <w:r>
        <w:rPr>
          <w:b/>
        </w:rPr>
        <w:t>Cloud data stays in the United States,</w:t>
      </w:r>
      <w:r>
        <w:rPr/>
        <w:t xml:space="preserve"> in Google Cloud Firestore multi-region nam5 (</w:t>
      </w:r>
      <w:hyperlink r:id="rId12">
        <w:r>
          <w:rPr>
            <w:color w:val="1d4ed8"/>
            <w:u w:val="single"/>
          </w:rPr>
          <w:t xml:space="preserve">Privacy</w:t>
        </w:r>
      </w:hyperlink>
      <w:r>
        <w:rPr/>
        <w:t xml:space="preserve"> §9). Access is limited by database security rules to project members, by role.</w:t>
      </w:r>
    </w:p>
    <w:p>
      <w:pPr>
        <w:numPr>
          <w:ilvl w:val="0"/>
          <w:numId w:val="9000"/>
        </w:numPr>
        <w:spacing w:after="40"/>
      </w:pPr>
      <w:r>
        <w:rPr>
          <w:b/>
        </w:rPr>
        <w:t>Sign-in uses Google or Microsoft only,</w:t>
      </w:r>
      <w:r>
        <w:rPr/>
        <w:t xml:space="preserve"> including Entra ID work accounts, so </w:t>
      </w:r>
      <w:r>
        <w:rPr>
          <w:highlight w:val="yellow"/>
        </w:rPr>
        <w:t>[ORGANIZATION]</w:t>
      </w:r>
      <w:r>
        <w:rPr/>
        <w:t>'s own MFA and conditional access apply. No passwords are stored.</w:t>
      </w:r>
    </w:p>
    <w:p>
      <w:pPr>
        <w:numPr>
          <w:ilvl w:val="0"/>
          <w:numId w:val="9000"/>
        </w:numPr>
        <w:spacing w:after="40"/>
      </w:pPr>
      <w:r>
        <w:rPr>
          <w:b/>
        </w:rPr>
        <w:t>No analytics, advertising or tracking cookies</w:t>
      </w:r>
      <w:r>
        <w:rPr/>
        <w:t xml:space="preserve"> (</w:t>
      </w:r>
      <w:hyperlink r:id="rId12">
        <w:r>
          <w:rPr>
            <w:color w:val="1d4ed8"/>
            <w:u w:val="single"/>
          </w:rPr>
          <w:t xml:space="preserve">Privacy</w:t>
        </w:r>
      </w:hyperlink>
      <w:r>
        <w:rPr/>
        <w:t xml:space="preserve"> §3), and "The Operator does not use your data to train machine learning models" (</w:t>
      </w:r>
      <w:hyperlink r:id="rId12">
        <w:r>
          <w:rPr>
            <w:color w:val="1d4ed8"/>
            <w:u w:val="single"/>
          </w:rPr>
          <w:t xml:space="preserve">Privacy</w:t>
        </w:r>
      </w:hyperlink>
      <w:r>
        <w:rPr/>
        <w:t xml:space="preserve"> §3).</w:t>
      </w:r>
    </w:p>
    <w:p>
      <w:pPr>
        <w:numPr>
          <w:ilvl w:val="0"/>
          <w:numId w:val="9000"/>
        </w:numPr>
        <w:spacing w:after="40"/>
      </w:pPr>
      <w:r>
        <w:rPr>
          <w:b/>
        </w:rPr>
        <w:t>Connect AI is off until a user turns it on,</w:t>
      </w:r>
      <w:r>
        <w:rPr/>
        <w:t xml:space="preserve"> per app and per browser. In Write Mode, existing project data is not uploaded (</w:t>
      </w:r>
      <w:hyperlink r:id="rId13">
        <w:r>
          <w:rPr>
            <w:color w:val="1d4ed8"/>
            <w:u w:val="single"/>
          </w:rPr>
          <w:t xml:space="preserve">AI Privacy Notice</w:t>
        </w:r>
      </w:hyperlink>
      <w:r>
        <w:rPr/>
        <w:t xml:space="preserve"> §2.1). No AI tool can delete an activity, story-map item or project.</w:t>
      </w:r>
    </w:p>
    <w:p>
      <w:pPr>
        <w:numPr>
          <w:ilvl w:val="0"/>
          <w:numId w:val="9000"/>
        </w:numPr>
        <w:spacing w:after="120"/>
      </w:pPr>
      <w:r>
        <w:rPr>
          <w:b/>
        </w:rPr>
        <w:t>Security practice:</w:t>
      </w:r>
      <w:r>
        <w:rPr/>
        <w:t xml:space="preserve"> public source, Dependabot and CodeQL scanning on all public repositories, and a suite-wide self-review completed on 2026-10-25.</w:t>
      </w:r>
    </w:p>
    <w:p>
      <w:pPr>
        <w:pStyle w:val="Heading2"/>
      </w:pPr>
      <w:r>
        <w:rPr/>
        <w:t>Main gaps</w:t>
      </w:r>
    </w:p>
    <w:p>
      <w:pPr>
        <w:numPr>
          <w:ilvl w:val="0"/>
          <w:numId w:val="9000"/>
        </w:numPr>
        <w:spacing w:after="40"/>
      </w:pPr>
      <w:r>
        <w:rPr/>
        <w:t xml:space="preserve">No SOC 2, ISO 27001 or third-party penetration test. The </w:t>
      </w:r>
      <w:hyperlink r:id="rId11">
        <w:r>
          <w:rPr>
            <w:color w:val="1d4ed8"/>
            <w:u w:val="single"/>
          </w:rPr>
          <w:t xml:space="preserve">Terms of Service</w:t>
        </w:r>
      </w:hyperlink>
      <w:r>
        <w:rPr/>
        <w:t xml:space="preserve"> (§4) forbid probing, scanning or testing the live apps, so raise any test with the operator first.</w:t>
      </w:r>
    </w:p>
    <w:p>
      <w:pPr>
        <w:numPr>
          <w:ilvl w:val="0"/>
          <w:numId w:val="9000"/>
        </w:numPr>
        <w:spacing w:after="40"/>
      </w:pPr>
      <w:r>
        <w:rPr/>
        <w:t xml:space="preserve">No data processing agreement: the operator is the data controller, not a processor for </w:t>
      </w:r>
      <w:r>
        <w:rPr>
          <w:highlight w:val="yellow"/>
        </w:rPr>
        <w:t>[ORGANIZATION]</w:t>
      </w:r>
      <w:r>
        <w:rPr/>
        <w:t xml:space="preserve"> (</w:t>
      </w:r>
      <w:hyperlink r:id="rId12">
        <w:r>
          <w:rPr>
            <w:color w:val="1d4ed8"/>
            <w:u w:val="single"/>
          </w:rPr>
          <w:t xml:space="preserve">Privacy</w:t>
        </w:r>
      </w:hyperlink>
      <w:r>
        <w:rPr/>
        <w:t xml:space="preserve"> §7.6).</w:t>
      </w:r>
    </w:p>
    <w:p>
      <w:pPr>
        <w:numPr>
          <w:ilvl w:val="0"/>
          <w:numId w:val="9000"/>
        </w:numPr>
        <w:spacing w:after="40"/>
      </w:pPr>
      <w:r>
        <w:rPr/>
        <w:t>No SLA, support contract or continuity commitment; the service can change or stop without notice (</w:t>
      </w:r>
      <w:hyperlink r:id="rId11">
        <w:r>
          <w:rPr>
            <w:color w:val="1d4ed8"/>
            <w:u w:val="single"/>
          </w:rPr>
          <w:t xml:space="preserve">ToS</w:t>
        </w:r>
      </w:hyperlink>
      <w:r>
        <w:rPr/>
        <w:t xml:space="preserve"> §2).</w:t>
      </w:r>
    </w:p>
    <w:p>
      <w:pPr>
        <w:numPr>
          <w:ilvl w:val="0"/>
          <w:numId w:val="9000"/>
        </w:numPr>
        <w:spacing w:after="40"/>
      </w:pPr>
      <w:r>
        <w:rPr/>
        <w:t>No single sign-on enforcement, user provisioning, administrator console or audit log.</w:t>
      </w:r>
    </w:p>
    <w:p>
      <w:pPr>
        <w:numPr>
          <w:ilvl w:val="0"/>
          <w:numId w:val="9000"/>
        </w:numPr>
        <w:spacing w:after="40"/>
      </w:pPr>
      <w:r>
        <w:rPr/>
        <w:t>No choice of data region, and deletion is by request rather than self-service.</w:t>
      </w:r>
    </w:p>
    <w:p>
      <w:pPr>
        <w:numPr>
          <w:ilvl w:val="0"/>
          <w:numId w:val="9000"/>
        </w:numPr>
        <w:spacing w:after="120"/>
      </w:pPr>
      <w:r>
        <w:rPr/>
        <w:t>Microsoft sign-in may need an Entra ID administrator to grant consent first, because the sign-in app is not yet a verified publisher.</w:t>
      </w:r>
    </w:p>
    <w:p>
      <w:pPr>
        <w:pStyle w:val="Heading2"/>
      </w:pPr>
      <w:r>
        <w:rPr/>
        <w:t>Where to find each document</w:t>
      </w:r>
    </w:p>
    <w:tbl>
      <w:tblPr>
        <w:tblW w:type="auto" w:w="0"/>
        <w:jc w:val="center"/>
        <w:tblBorders>
          <w:top w:val="single" w:sz="4" w:color="e2e8f0"/>
          <w:left w:val="single" w:sz="4" w:color="e2e8f0"/>
          <w:bottom w:val="single" w:sz="4" w:color="e2e8f0"/>
          <w:right w:val="single" w:sz="4" w:color="e2e8f0"/>
          <w:insideH w:val="single" w:sz="4" w:color="e2e8f0"/>
          <w:insideV w:val="nil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firstColumn="1" w:firstRow="1" w:lastColumn="0" w:lastRow="0" w:noHBand="0" w:noVBand="1" w:val="04A0"/>
      </w:tblPr>
      <w:tblGrid>
        <w:gridCol w:w="2742"/>
        <w:gridCol w:w="7626"/>
      </w:tblGrid>
      <w:tr>
        <w:trPr>
          <w:cantSplit/>
          <w:tblHeader w:val="true"/>
        </w:trPr>
        <w:tc>
          <w:tcPr>
            <w:tcW w:type="dxa" w:w="2742"/>
            <w:shd w:val="clear" w:color="auto" w:fill="1d4ed8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If you are</w:t>
            </w:r>
          </w:p>
        </w:tc>
        <w:tc>
          <w:tcPr>
            <w:tcW w:type="dxa" w:w="7626"/>
            <w:shd w:val="clear" w:color="auto" w:fill="1d4ed8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Read</w:t>
            </w:r>
          </w:p>
        </w:tc>
      </w:tr>
      <w:tr>
        <w:trPr>
          <w:cantSplit/>
        </w:trPr>
        <w:tc>
          <w:tcPr>
            <w:tcW w:type="dxa" w:w="2742"/>
          </w:tcPr>
          <w:p>
            <w:pPr>
              <w:spacing w:after="0"/>
            </w:pPr>
            <w:r>
              <w:rPr>
                <w:sz w:val="18"/>
              </w:rPr>
              <w:t>Information security</w:t>
            </w:r>
          </w:p>
        </w:tc>
        <w:tc>
          <w:tcPr>
            <w:tcW w:type="dxa" w:w="7626"/>
          </w:tcPr>
          <w:p>
            <w:pPr>
              <w:spacing w:after="0"/>
            </w:pPr>
            <w:r>
              <w:rPr>
                <w:i/>
                <w:sz w:val="18"/>
              </w:rPr>
              <w:t>Information Security Profile</w:t>
            </w:r>
            <w:r>
              <w:rPr>
                <w:sz w:val="18"/>
              </w:rPr>
              <w:t xml:space="preserve">, </w:t>
            </w:r>
            <w:r>
              <w:rPr>
                <w:i/>
                <w:sz w:val="18"/>
              </w:rPr>
              <w:t>Security Questionnaire Answer Sheet</w:t>
            </w:r>
            <w:r>
              <w:rPr>
                <w:sz w:val="18"/>
              </w:rPr>
              <w:t xml:space="preserve"> (SPERT</w:t>
            </w:r>
            <w:r>
              <w:rPr>
                <w:sz w:val="18"/>
                <w:vertAlign w:val="superscript"/>
              </w:rPr>
              <w:t>®</w:t>
            </w:r>
            <w:r>
              <w:rPr>
                <w:sz w:val="18"/>
              </w:rPr>
              <w:t xml:space="preserve"> Scheduler), </w:t>
            </w:r>
            <w:r>
              <w:rPr>
                <w:i/>
                <w:sz w:val="18"/>
              </w:rPr>
              <w:t>Architecture Overview</w:t>
            </w:r>
          </w:p>
        </w:tc>
      </w:tr>
      <w:tr>
        <w:trPr>
          <w:cantSplit/>
        </w:trPr>
        <w:tc>
          <w:tcPr>
            <w:tcW w:type="dxa" w:w="2742"/>
            <w:shd w:val="clear" w:color="auto" w:fill="f1f5f9"/>
          </w:tcPr>
          <w:p>
            <w:pPr>
              <w:spacing w:after="0"/>
            </w:pPr>
            <w:r>
              <w:rPr>
                <w:sz w:val="18"/>
              </w:rPr>
              <w:t>Privacy</w:t>
            </w:r>
          </w:p>
        </w:tc>
        <w:tc>
          <w:tcPr>
            <w:tcW w:type="dxa" w:w="7626"/>
            <w:shd w:val="clear" w:color="auto" w:fill="f1f5f9"/>
          </w:tcPr>
          <w:p>
            <w:pPr>
              <w:spacing w:after="0"/>
            </w:pPr>
            <w:r>
              <w:rPr>
                <w:i/>
                <w:sz w:val="18"/>
              </w:rPr>
              <w:t>Information Security Profile</w:t>
            </w:r>
            <w:r>
              <w:rPr>
                <w:sz w:val="18"/>
              </w:rPr>
              <w:t xml:space="preserve">, </w:t>
            </w:r>
            <w:r>
              <w:rPr>
                <w:i/>
                <w:sz w:val="18"/>
              </w:rPr>
              <w:t>Data Flow Diagram</w:t>
            </w:r>
            <w:r>
              <w:rPr>
                <w:sz w:val="18"/>
              </w:rPr>
              <w:t xml:space="preserve">, </w:t>
            </w:r>
            <w:hyperlink r:id="rId12">
              <w:r>
                <w:rPr>
                  <w:color w:val="1d4ed8"/>
                  <w:sz w:val="18"/>
                  <w:u w:val="single"/>
                </w:rPr>
                <w:t xml:space="preserve">Privacy Policy</w:t>
              </w:r>
            </w:hyperlink>
          </w:p>
        </w:tc>
      </w:tr>
      <w:tr>
        <w:trPr>
          <w:cantSplit/>
        </w:trPr>
        <w:tc>
          <w:tcPr>
            <w:tcW w:type="dxa" w:w="2742"/>
          </w:tcPr>
          <w:p>
            <w:pPr>
              <w:spacing w:after="0"/>
            </w:pPr>
            <w:r>
              <w:rPr>
                <w:sz w:val="18"/>
              </w:rPr>
              <w:t>Enterprise architecture</w:t>
            </w:r>
          </w:p>
        </w:tc>
        <w:tc>
          <w:tcPr>
            <w:tcW w:type="dxa" w:w="7626"/>
          </w:tcPr>
          <w:p>
            <w:pPr>
              <w:spacing w:after="0"/>
            </w:pPr>
            <w:r>
              <w:rPr>
                <w:i/>
                <w:sz w:val="18"/>
              </w:rPr>
              <w:t>Architecture Overview</w:t>
            </w:r>
            <w:r>
              <w:rPr>
                <w:sz w:val="18"/>
              </w:rPr>
              <w:t xml:space="preserve">, </w:t>
            </w:r>
            <w:r>
              <w:rPr>
                <w:i/>
                <w:sz w:val="18"/>
              </w:rPr>
              <w:t>Data Flow Diagram</w:t>
            </w:r>
            <w:r>
              <w:rPr>
                <w:sz w:val="18"/>
              </w:rPr>
              <w:t xml:space="preserve">, </w:t>
            </w:r>
            <w:r>
              <w:rPr>
                <w:i/>
                <w:sz w:val="18"/>
              </w:rPr>
              <w:t>Value Brief</w:t>
            </w:r>
          </w:p>
        </w:tc>
      </w:tr>
      <w:tr>
        <w:trPr>
          <w:cantSplit/>
        </w:trPr>
        <w:tc>
          <w:tcPr>
            <w:tcW w:type="dxa" w:w="2742"/>
            <w:shd w:val="clear" w:color="auto" w:fill="f1f5f9"/>
          </w:tcPr>
          <w:p>
            <w:pPr>
              <w:spacing w:after="0"/>
            </w:pPr>
            <w:r>
              <w:rPr>
                <w:sz w:val="18"/>
              </w:rPr>
              <w:t>AI governance (tier 3)</w:t>
            </w:r>
          </w:p>
        </w:tc>
        <w:tc>
          <w:tcPr>
            <w:tcW w:type="dxa" w:w="7626"/>
            <w:shd w:val="clear" w:color="auto" w:fill="f1f5f9"/>
          </w:tcPr>
          <w:p>
            <w:pPr>
              <w:spacing w:after="0"/>
            </w:pPr>
            <w:r>
              <w:rPr>
                <w:i/>
                <w:sz w:val="18"/>
              </w:rPr>
              <w:t>Connect AI Data Explainer</w:t>
            </w:r>
            <w:r>
              <w:rPr>
                <w:sz w:val="18"/>
              </w:rPr>
              <w:t xml:space="preserve">, </w:t>
            </w:r>
            <w:r>
              <w:rPr>
                <w:i/>
                <w:sz w:val="18"/>
              </w:rPr>
              <w:t>Data Flow Diagram</w:t>
            </w:r>
            <w:r>
              <w:rPr>
                <w:sz w:val="18"/>
              </w:rPr>
              <w:t xml:space="preserve">, </w:t>
            </w:r>
            <w:hyperlink r:id="rId13">
              <w:r>
                <w:rPr>
                  <w:color w:val="1d4ed8"/>
                  <w:sz w:val="18"/>
                  <w:u w:val="single"/>
                </w:rPr>
                <w:t xml:space="preserve">AI Privacy Notice</w:t>
              </w:r>
            </w:hyperlink>
            <w:r>
              <w:rPr>
                <w:sz w:val="18"/>
              </w:rPr>
              <w:t xml:space="preserve">, </w:t>
            </w:r>
            <w:hyperlink r:id="rId14">
              <w:r>
                <w:rPr>
                  <w:color w:val="1d4ed8"/>
                  <w:sz w:val="18"/>
                  <w:u w:val="single"/>
                </w:rPr>
                <w:t xml:space="preserve">AI Connectivity Consent Notice</w:t>
              </w:r>
            </w:hyperlink>
          </w:p>
        </w:tc>
      </w:tr>
      <w:tr>
        <w:trPr>
          <w:cantSplit/>
        </w:trPr>
        <w:tc>
          <w:tcPr>
            <w:tcW w:type="dxa" w:w="2742"/>
          </w:tcPr>
          <w:p>
            <w:pPr>
              <w:spacing w:after="0"/>
            </w:pPr>
            <w:r>
              <w:rPr>
                <w:sz w:val="18"/>
              </w:rPr>
              <w:t>Legal or procurement</w:t>
            </w:r>
          </w:p>
        </w:tc>
        <w:tc>
          <w:tcPr>
            <w:tcW w:type="dxa" w:w="7626"/>
          </w:tcPr>
          <w:p>
            <w:pPr>
              <w:spacing w:after="0"/>
            </w:pPr>
            <w:hyperlink r:id="rId11">
              <w:r>
                <w:rPr>
                  <w:color w:val="1d4ed8"/>
                  <w:sz w:val="18"/>
                  <w:u w:val="single"/>
                </w:rPr>
                <w:t xml:space="preserve">Terms of Service</w:t>
              </w:r>
            </w:hyperlink>
            <w:r>
              <w:rPr>
                <w:sz w:val="18"/>
              </w:rPr>
              <w:t xml:space="preserve">, </w:t>
            </w:r>
            <w:hyperlink r:id="rId12">
              <w:r>
                <w:rPr>
                  <w:color w:val="1d4ed8"/>
                  <w:sz w:val="18"/>
                  <w:u w:val="single"/>
                </w:rPr>
                <w:t xml:space="preserve">Privacy Policy</w:t>
              </w:r>
            </w:hyperlink>
            <w:r>
              <w:rPr>
                <w:sz w:val="18"/>
              </w:rPr>
              <w:t xml:space="preserve">, </w:t>
            </w:r>
            <w:r>
              <w:rPr>
                <w:i/>
                <w:sz w:val="18"/>
              </w:rPr>
              <w:t>Reviewer FAQ</w:t>
            </w:r>
          </w:p>
        </w:tc>
      </w:tr>
      <w:tr>
        <w:trPr>
          <w:cantSplit/>
        </w:trPr>
        <w:tc>
          <w:tcPr>
            <w:tcW w:type="dxa" w:w="2742"/>
            <w:shd w:val="clear" w:color="auto" w:fill="f1f5f9"/>
          </w:tcPr>
          <w:p>
            <w:pPr>
              <w:spacing w:after="0"/>
            </w:pPr>
            <w:r>
              <w:rPr>
                <w:sz w:val="18"/>
              </w:rPr>
              <w:t>The project manager</w:t>
            </w:r>
          </w:p>
        </w:tc>
        <w:tc>
          <w:tcPr>
            <w:tcW w:type="dxa" w:w="7626"/>
            <w:shd w:val="clear" w:color="auto" w:fill="f1f5f9"/>
          </w:tcPr>
          <w:p>
            <w:pPr>
              <w:spacing w:after="0"/>
            </w:pPr>
            <w:r>
              <w:rPr>
                <w:i/>
                <w:sz w:val="18"/>
              </w:rPr>
              <w:t>Approval Guide</w:t>
            </w:r>
            <w:r>
              <w:rPr>
                <w:sz w:val="18"/>
              </w:rPr>
              <w:t xml:space="preserve"> and </w:t>
            </w:r>
            <w:r>
              <w:rPr>
                <w:i/>
                <w:sz w:val="18"/>
              </w:rPr>
              <w:t>Approval Pathway Checklist</w:t>
            </w:r>
          </w:p>
        </w:tc>
      </w:tr>
    </w:tbl>
    <w:p>
      <w:pPr>
        <w:spacing w:after="40"/>
      </w:pPr>
    </w:p>
    <w:p>
      <w:r>
        <w:rPr/>
        <w:t xml:space="preserve">The current kit is at </w:t>
      </w:r>
      <w:hyperlink r:id="rId10">
        <w:r>
          <w:rPr>
            <w:color w:val="1d4ed8"/>
            <w:u w:val="single"/>
          </w:rPr>
          <w:t xml:space="preserve">spertsuite.com/approval-kit</w:t>
        </w:r>
      </w:hyperlink>
      <w:r>
        <w:rPr/>
        <w:t>.</w:t>
      </w:r>
    </w:p>
    <w:p>
      <w:pPr>
        <w:pStyle w:val="Heading2"/>
      </w:pPr>
      <w:r>
        <w:rPr/>
        <w:t>Contacting the operator</w:t>
      </w:r>
    </w:p>
    <w:p>
      <w:r>
        <w:rPr/>
        <w:t xml:space="preserve">Security reports: </w:t>
      </w:r>
      <w:hyperlink r:id="rId15">
        <w:r>
          <w:rPr>
            <w:color w:val="1d4ed8"/>
            <w:u w:val="single"/>
          </w:rPr>
          <w:t xml:space="preserve">security@spertsuite.com</w:t>
        </w:r>
      </w:hyperlink>
      <w:r>
        <w:rPr/>
        <w:t>, or GitHub private vulnerability reporting on any public SPERT</w:t>
      </w:r>
      <w:r>
        <w:rPr>
          <w:vertAlign w:val="superscript"/>
        </w:rPr>
        <w:t>®</w:t>
      </w:r>
      <w:r>
        <w:rPr/>
        <w:t xml:space="preserve"> repository; the security policy is at </w:t>
      </w:r>
      <w:hyperlink r:id="rId16">
        <w:r>
          <w:rPr>
            <w:color w:val="1d4ed8"/>
            <w:u w:val="single"/>
          </w:rPr>
          <w:t xml:space="preserve">https://spertsuite.com/security</w:t>
        </w:r>
      </w:hyperlink>
      <w:r>
        <w:rPr/>
        <w:t xml:space="preserve">. Privacy questions and data requests: </w:t>
      </w:r>
      <w:hyperlink r:id="rId17">
        <w:r>
          <w:rPr>
            <w:color w:val="1d4ed8"/>
            <w:u w:val="single"/>
          </w:rPr>
          <w:t xml:space="preserve">privacy@spertsuite.com</w:t>
        </w:r>
      </w:hyperlink>
      <w:r>
        <w:rPr/>
        <w:t xml:space="preserve">. Everything else: </w:t>
      </w:r>
      <w:hyperlink r:id="rId18">
        <w:r>
          <w:rPr>
            <w:color w:val="1d4ed8"/>
            <w:u w:val="single"/>
          </w:rPr>
          <w:t xml:space="preserve">contact@spertsuite.com</w:t>
        </w:r>
      </w:hyperlink>
      <w:r>
        <w:rPr/>
        <w:t>.</w:t>
      </w:r>
    </w:p>
    <w:sectPr w:rsidR="00FC693F" w:rsidRPr="0006063C" w:rsidSect="00034616">
      <w:footerReference w:type="default" r:id="rId19"/>
      <w:pgSz w:w="12240" w:h="15840"/>
      <w:pgMar w:top="1008" w:right="936" w:bottom="100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SPERT</w:t>
    </w:r>
    <w:r>
      <w:rPr>
        <w:color w:val="475569"/>
        <w:sz w:val="16"/>
        <w:vertAlign w:val="superscript"/>
      </w:rPr>
      <w:t>®</w:t>
    </w:r>
    <w:r>
      <w:rPr>
        <w:color w:val="475569"/>
        <w:sz w:val="16"/>
      </w:rPr>
      <w:t xml:space="preserve"> Suite Approval Kit v1.0.0 · Reviewer Summary · Page </w:t>
    </w:r>
    <w:r>
      <w:rPr>
        <w:color w:val="475569"/>
        <w:sz w:val="16"/>
      </w:rPr>
      <w:fldChar w:fldCharType="begin"/>
    </w:r>
    <w:r>
      <w:rPr>
        <w:color w:val="475569"/>
        <w:sz w:val="16"/>
      </w:rPr>
      <w:instrText xml:space="preserve">PAGE</w:instrText>
    </w:r>
    <w:r>
      <w:rPr>
        <w:color w:val="475569"/>
        <w:sz w:val="16"/>
      </w:rPr>
      <w:fldChar w:fldCharType="end"/>
    </w:r>
    <w:r>
      <w:rPr>
        <w:color w:val="475569"/>
        <w:sz w:val="16"/>
      </w:rPr>
      <w:t xml:space="preserve"> · </w:t>
    </w:r>
    <w:hyperlink r:id="rId1">
      <w:r>
        <w:rPr>
          <w:color w:val="1d4ed8"/>
          <w:sz w:val="16"/>
          <w:u w:val="single"/>
        </w:rPr>
        <w:t xml:space="preserve">spertsuite.com/approval-kit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00">
    <w:multiLevelType w:val="hybridMultilevel"/>
    <w:lvl w:ilvl="0">
      <w:start w:val="1"/>
      <w:numFmt w:val="bullet"/>
      <w:lvlText w:val="—"/>
      <w:lvlJc w:val="left"/>
      <w:pPr>
        <w:ind w:left="360" w:hanging="300"/>
      </w:pPr>
      <w:rPr>
        <w:rFonts w:ascii="Arial" w:hAnsi="Arial" w:cs="Arial"/>
      </w:rPr>
    </w:lvl>
    <w:lvl w:ilvl="1">
      <w:start w:val="1"/>
      <w:numFmt w:val="bullet"/>
      <w:lvlText w:val="—"/>
      <w:lvlJc w:val="left"/>
      <w:pPr>
        <w:ind w:left="720" w:hanging="300"/>
      </w:pPr>
      <w:rPr>
        <w:rFonts w:ascii="Arial" w:hAnsi="Arial" w:cs="Arial"/>
      </w:rPr>
    </w:lvl>
    <w:lvl w:ilvl="2">
      <w:start w:val="1"/>
      <w:numFmt w:val="bullet"/>
      <w:lvlText w:val="—"/>
      <w:lvlJc w:val="left"/>
      <w:pPr>
        <w:ind w:left="1080" w:hanging="300"/>
      </w:pPr>
      <w:rPr>
        <w:rFonts w:ascii="Arial" w:hAnsi="Arial" w:cs="Arial"/>
      </w:rPr>
    </w:lvl>
  </w:abstractNum>
  <w:abstractNum w:abstractNumId="9001">
    <w:multiLevelType w:val="hybridMultilevel"/>
    <w:lvl w:ilvl="0">
      <w:start w:val="1"/>
      <w:numFmt w:val="decimal"/>
      <w:lvlText w:val="%1."/>
      <w:lvlJc w:val="left"/>
      <w:pPr>
        <w:ind w:left="360" w:hanging="300"/>
      </w:pPr>
    </w:lvl>
    <w:lvl w:ilvl="1">
      <w:start w:val="1"/>
      <w:numFmt w:val="decimal"/>
      <w:lvlText w:val="%2."/>
      <w:lvlJc w:val="left"/>
      <w:pPr>
        <w:ind w:left="720" w:hanging="300"/>
      </w:pPr>
    </w:lvl>
    <w:lvl w:ilvl="2">
      <w:start w:val="1"/>
      <w:numFmt w:val="decimal"/>
      <w:lvlText w:val="%3."/>
      <w:lvlJc w:val="left"/>
      <w:pPr>
        <w:ind w:left="1080" w:hanging="30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00">
    <w:abstractNumId w:val="90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1E29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"/>
      <w:b/>
      <w:bCs/>
      <w:i w:val="0"/>
      <w:color w:val="1D4ED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hd w:val="clear" w:color="auto" w:fill="1d4ed8"/>
      <w:spacing w:before="280" w:after="120"/>
      <w:jc w:val="center"/>
      <w:outlineLvl w:val="1"/>
    </w:pPr>
    <w:rPr>
      <w:rFonts w:ascii="Arial" w:hAnsi="Arial" w:eastAsia="Arial"/>
      <w:b/>
      <w:bCs/>
      <w:i w:val="0"/>
      <w:caps/>
      <w:color w:val="FFFFFF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="Arial" w:hAnsi="Arial" w:eastAsia="Arial"/>
      <w:b/>
      <w:bCs/>
      <w:i w:val="0"/>
      <w:color w:val="1D4ED8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60" w:after="60"/>
      <w:outlineLvl w:val="3"/>
    </w:pPr>
    <w:rPr>
      <w:rFonts w:ascii="Arial" w:hAnsi="Arial" w:eastAsia="Arial"/>
      <w:b/>
      <w:bCs/>
      <w:i w:val="0"/>
      <w:iCs/>
      <w:color w:val="1E293B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Arial" w:hAnsi="Arial" w:eastAsia="Arial"/>
      <w:b/>
      <w:i w:val="0"/>
      <w:color w:val="1D4ED8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spertsuite.com/approval-kit" TargetMode="External"/><Relationship Id="rId11" Type="http://schemas.openxmlformats.org/officeDocument/2006/relationships/hyperlink" Target="https://spertsuite.com/TOS.pdf" TargetMode="External"/><Relationship Id="rId12" Type="http://schemas.openxmlformats.org/officeDocument/2006/relationships/hyperlink" Target="https://spertsuite.com/PRIVACY.pdf" TargetMode="External"/><Relationship Id="rId13" Type="http://schemas.openxmlformats.org/officeDocument/2006/relationships/hyperlink" Target="https://spertsuite.com/ai-privacy" TargetMode="External"/><Relationship Id="rId14" Type="http://schemas.openxmlformats.org/officeDocument/2006/relationships/hyperlink" Target="https://spertsuite.com/ai-consent-notice" TargetMode="External"/><Relationship Id="rId15" Type="http://schemas.openxmlformats.org/officeDocument/2006/relationships/hyperlink" Target="mailto:security@spertsuite.com" TargetMode="External"/><Relationship Id="rId16" Type="http://schemas.openxmlformats.org/officeDocument/2006/relationships/hyperlink" Target="https://spertsuite.com/security" TargetMode="External"/><Relationship Id="rId17" Type="http://schemas.openxmlformats.org/officeDocument/2006/relationships/hyperlink" Target="mailto:privacy@spertsuite.com" TargetMode="External"/><Relationship Id="rId18" Type="http://schemas.openxmlformats.org/officeDocument/2006/relationships/hyperlink" Target="mailto:contact@spertsuite.com" TargetMode="External"/><Relationship Id="rId1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pertsuite.com/approval-k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SPERT® Suite: Reviewer Summary</dc:title>
  <dc:subject>Two-page overview for reviewers: what SPERT® Suite is, the three tiers, key facts and gaps, and where to read more</dc:subject>
  <dc:creator>William W. Davis, MSPM, PMP</dc:creator>
  <cp:keywords>SPERT Suite; Approval Kit</cp:keywords>
  <dc:description>SPERT® Suite Approval Kit v1.0.0 (Release) · Content reviewed 2026-10-25 · Built 2026-10-26</dc:description>
  <cp:lastModifiedBy/>
  <cp:revision>1</cp:revision>
  <dcterms:created xsi:type="dcterms:W3CDTF">2013-12-23T23:15:00Z</dcterms:created>
  <dcterms:modified xsi:type="dcterms:W3CDTF">2013-12-23T23:15:00Z</dcterms:modified>
  <cp:category/>
  <cp:version>1.0.0</cp:version>
</cp:coreProperties>
</file>