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24"/>
        </w:rPr>
        <w:drawing>
          <wp:inline xmlns:a="http://schemas.openxmlformats.org/drawingml/2006/main" xmlns:pic="http://schemas.openxmlformats.org/drawingml/2006/picture">
            <wp:extent cx="254000" cy="25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4000" cy="254000"/>
                    </a:xfrm>
                    <a:prstGeom prst="rect"/>
                  </pic:spPr>
                </pic:pic>
              </a:graphicData>
            </a:graphic>
          </wp:inline>
        </w:drawing>
      </w:r>
      <w:r>
        <w:rPr>
          <w:sz w:val="24"/>
        </w:rPr>
        <w:t xml:space="preserve">  </w:t>
      </w:r>
      <w:r>
        <w:rPr>
          <w:sz w:val="24"/>
        </w:rPr>
        <w:t>Data Flow Diagram and AI Connectivity: SPERT</w:t>
      </w:r>
      <w:r>
        <w:rPr>
          <w:sz w:val="24"/>
          <w:vertAlign w:val="superscript"/>
        </w:rPr>
        <w:t>®</w:t>
      </w:r>
      <w:r>
        <w:rPr>
          <w:sz w:val="24"/>
        </w:rPr>
        <w:t xml:space="preserve"> Suite at </w:t>
      </w:r>
      <w:r>
        <w:rPr>
          <w:sz w:val="24"/>
          <w:highlight w:val="yellow"/>
        </w:rPr>
        <w:t>[ORGANIZATION]</w:t>
      </w:r>
    </w:p>
    <w:p>
      <w:pPr>
        <w:spacing w:after="20"/>
      </w:pPr>
      <w:r>
        <w:rPr>
          <w:b/>
          <w:color w:val="1D4ED8"/>
          <w:sz w:val="18"/>
        </w:rPr>
        <w:t xml:space="preserve">Template  ·  </w:t>
      </w:r>
      <w:r>
        <w:rPr>
          <w:sz w:val="18"/>
        </w:rPr>
        <w:t xml:space="preserve">Fill-in template: data flows per tier, Connect AI snapshot contents and tools, and the organization's own controls · </w:t>
      </w:r>
      <w:hyperlink r:id="rId10">
        <w:r>
          <w:rPr>
            <w:color w:val="1d4ed8"/>
            <w:sz w:val="18"/>
            <w:u w:val="single"/>
          </w:rPr>
          <w:t xml:space="preserve">spertsuite.com/approval-kit</w:t>
        </w:r>
      </w:hyperlink>
    </w:p>
    <w:p>
      <w:pPr>
        <w:pBdr>
          <w:bottom w:val="single" w:sz="12" w:space="4" w:color="1d4ed8"/>
        </w:pBdr>
      </w:pPr>
      <w:r>
        <w:rPr>
          <w:color w:val="475569"/>
          <w:sz w:val="16"/>
        </w:rPr>
        <w:t>SPERT</w:t>
      </w:r>
      <w:r>
        <w:rPr>
          <w:color w:val="475569"/>
          <w:sz w:val="16"/>
          <w:vertAlign w:val="superscript"/>
        </w:rPr>
        <w:t>®</w:t>
      </w:r>
      <w:r>
        <w:rPr>
          <w:color w:val="475569"/>
          <w:sz w:val="16"/>
        </w:rPr>
        <w:t xml:space="preserve"> Suite Approval Kit v1.0.0 (Release) · Content reviewed 2026-10-25 · Built 2026-10-26</w:t>
      </w:r>
    </w:p>
    <w:p>
      <w:r>
        <w:rPr>
          <w:b/>
        </w:rPr>
        <w:t>Prepared by:</w:t>
      </w:r>
      <w:r>
        <w:rPr/>
        <w:t xml:space="preserve"> </w:t>
      </w:r>
      <w:r>
        <w:rPr>
          <w:highlight w:val="yellow"/>
        </w:rPr>
        <w:t>[PROJECT MANAGER NAME]</w:t>
      </w:r>
      <w:r>
        <w:rPr/>
        <w:t xml:space="preserve"> for </w:t>
      </w:r>
      <w:r>
        <w:rPr>
          <w:highlight w:val="yellow"/>
        </w:rPr>
        <w:t>[REVIEWING TEAM]</w:t>
      </w:r>
      <w:r>
        <w:rPr/>
        <w:t xml:space="preserve"> · </w:t>
      </w:r>
      <w:r>
        <w:rPr>
          <w:b/>
        </w:rPr>
        <w:t>Request reference:</w:t>
      </w:r>
      <w:r>
        <w:rPr/>
        <w:t xml:space="preserve"> </w:t>
      </w:r>
      <w:r>
        <w:rPr>
          <w:highlight w:val="yellow"/>
        </w:rPr>
        <w:t>[REQUEST ID]</w:t>
      </w:r>
      <w:r>
        <w:rPr/>
        <w:t xml:space="preserve"> · </w:t>
      </w:r>
      <w:r>
        <w:rPr>
          <w:b/>
        </w:rPr>
        <w:t>Date:</w:t>
      </w:r>
      <w:r>
        <w:rPr/>
        <w:t xml:space="preserve"> </w:t>
      </w:r>
      <w:r>
        <w:rPr>
          <w:highlight w:val="yellow"/>
        </w:rPr>
        <w:t>[DATE]</w:t>
      </w:r>
      <w:r>
        <w:br/>
      </w:r>
      <w:r>
        <w:rPr>
          <w:b/>
        </w:rPr>
        <w:t>Reviewed against:</w:t>
      </w:r>
      <w:r>
        <w:rPr/>
        <w:t xml:space="preserve"> SPERT</w:t>
      </w:r>
      <w:r>
        <w:rPr>
          <w:vertAlign w:val="superscript"/>
        </w:rPr>
        <w:t>®</w:t>
      </w:r>
      <w:r>
        <w:rPr/>
        <w:t xml:space="preserve"> Scheduler 0.79.26, SPERT</w:t>
      </w:r>
      <w:r>
        <w:rPr>
          <w:vertAlign w:val="superscript"/>
        </w:rPr>
        <w:t>®</w:t>
      </w:r>
      <w:r>
        <w:rPr/>
        <w:t xml:space="preserve"> Story Map 0.53.14, SPERT</w:t>
      </w:r>
      <w:r>
        <w:rPr>
          <w:vertAlign w:val="superscript"/>
        </w:rPr>
        <w:t>®</w:t>
      </w:r>
      <w:r>
        <w:rPr/>
        <w:t xml:space="preserve"> Forecaster 0.47.4, SPERT</w:t>
      </w:r>
      <w:r>
        <w:rPr>
          <w:vertAlign w:val="superscript"/>
        </w:rPr>
        <w:t>®</w:t>
      </w:r>
      <w:r>
        <w:rPr/>
        <w:t xml:space="preserve"> CFD 0.15.23, GanttApp™ 0.29.8, MyScrumBudget™ 0.44.4; shared backend </w:t>
      </w:r>
      <w:hyperlink r:id="rId11">
        <w:r>
          <w:rPr>
            <w:color w:val="1d4ed8"/>
            <w:u w:val="single"/>
          </w:rPr>
          <w:t xml:space="preserve">spert-landing</w:t>
        </w:r>
      </w:hyperlink>
      <w:r>
        <w:rPr/>
        <w:t xml:space="preserve"> 2.7.2 (commit </w:t>
      </w:r>
      <w:r>
        <w:rPr>
          <w:rFonts w:ascii="Consolas" w:hAnsi="Consolas"/>
          <w:sz w:val="18"/>
        </w:rPr>
        <w:t>52b7fbf</w:t>
      </w:r>
      <w:r>
        <w:rPr/>
        <w:t xml:space="preserve">), whose Connect AI tool definitions were read for the appendix; Connect AI server 1.14.1; </w:t>
      </w:r>
      <w:hyperlink r:id="rId12">
        <w:r>
          <w:rPr>
            <w:color w:val="1d4ed8"/>
            <w:u w:val="single"/>
          </w:rPr>
          <w:t xml:space="preserve">Privacy Policy</w:t>
        </w:r>
      </w:hyperlink>
      <w:r>
        <w:rPr/>
        <w:t xml:space="preserve"> v1.4 and </w:t>
      </w:r>
      <w:hyperlink r:id="rId13">
        <w:r>
          <w:rPr>
            <w:color w:val="1d4ed8"/>
            <w:u w:val="single"/>
          </w:rPr>
          <w:t xml:space="preserve">AI Privacy Notice</w:t>
        </w:r>
      </w:hyperlink>
      <w:r>
        <w:rPr/>
        <w:t xml:space="preserve"> v2.3 (both effective 2026-10-26). </w:t>
      </w:r>
      <w:r>
        <w:rPr>
          <w:b/>
        </w:rPr>
        <w:t>Review date:</w:t>
      </w:r>
      <w:r>
        <w:rPr/>
        <w:t xml:space="preserve"> 2026-10-25.</w:t>
      </w:r>
    </w:p>
    <w:p>
      <w:r>
        <w:rPr>
          <w:i/>
        </w:rPr>
        <w:t>This document supports an approval process. It is not legal, compliance or security advice, and it makes no commitments on the operator's behalf beyond those in the published legal documents.</w:t>
      </w:r>
    </w:p>
    <w:tbl>
      <w:tblPr>
        <w:tblW w:type="auto" w:w="0"/>
        <w:tblBorders>
          <w:top w:val="single" w:sz="8" w:color="fbbf24"/>
          <w:left w:val="single" w:sz="8" w:color="fbbf24"/>
          <w:bottom w:val="single" w:sz="8" w:color="fbbf24"/>
          <w:right w:val="single" w:sz="8" w:color="fbbf24"/>
          <w:insideH w:val="single" w:sz="8" w:color="fbbf24"/>
          <w:insideV w:val="nil"/>
        </w:tblBorders>
        <w:tblLayout w:type="fixed"/>
        <w:tblCellMar>
          <w:top w:w="100" w:type="dxa"/>
          <w:left w:w="140" w:type="dxa"/>
          <w:bottom w:w="100" w:type="dxa"/>
          <w:right w:w="140" w:type="dxa"/>
        </w:tblCellMar>
        <w:tblLook w:firstColumn="1" w:firstRow="1" w:lastColumn="0" w:lastRow="0" w:noHBand="0" w:noVBand="1" w:val="04A0"/>
      </w:tblPr>
      <w:tblGrid>
        <w:gridCol w:w="10368"/>
      </w:tblGrid>
      <w:tr>
        <w:tc>
          <w:tcPr>
            <w:tcW w:type="dxa" w:w="10368"/>
            <w:shd w:val="clear" w:color="auto" w:fill="fef3c7"/>
          </w:tcPr>
          <w:p>
            <w:r>
              <w:rPr>
                <w:b/>
                <w:sz w:val="19"/>
              </w:rPr>
              <w:t>For the project manager.</w:t>
            </w:r>
            <w:r>
              <w:rPr>
                <w:sz w:val="19"/>
              </w:rPr>
              <w:t xml:space="preserve"> Sections 1 to 5 describe SPERT</w:t>
            </w:r>
            <w:r>
              <w:rPr>
                <w:sz w:val="19"/>
                <w:vertAlign w:val="superscript"/>
              </w:rPr>
              <w:t>®</w:t>
            </w:r>
            <w:r>
              <w:rPr>
                <w:sz w:val="19"/>
              </w:rPr>
              <w:t xml:space="preserve"> Suite and need no editing beyond the placeholders. Sections 6 and 7 describe </w:t>
            </w:r>
            <w:r>
              <w:rPr>
                <w:sz w:val="19"/>
                <w:highlight w:val="yellow"/>
              </w:rPr>
              <w:t>[ORGANIZATION]</w:t>
            </w:r>
            <w:r>
              <w:rPr>
                <w:sz w:val="19"/>
              </w:rPr>
              <w:t xml:space="preserve">'s side: fill them in with your service desk or </w:t>
            </w:r>
            <w:r>
              <w:rPr>
                <w:sz w:val="19"/>
                <w:highlight w:val="yellow"/>
              </w:rPr>
              <w:t>[REVIEWING TEAM]</w:t>
            </w:r>
            <w:r>
              <w:rPr>
                <w:sz w:val="19"/>
              </w:rPr>
              <w:t xml:space="preserve">. Delete the tier sections you are not requesting. The </w:t>
            </w:r>
            <w:r>
              <w:rPr>
                <w:i/>
                <w:sz w:val="19"/>
              </w:rPr>
              <w:t>Architecture Overview</w:t>
            </w:r>
            <w:r>
              <w:rPr>
                <w:sz w:val="19"/>
              </w:rPr>
              <w:t xml:space="preserve"> explains each flow in more detail. Delete this box before you send it.</w:t>
            </w:r>
          </w:p>
        </w:tc>
      </w:tr>
    </w:tbl>
    <w:p>
      <w:pPr>
        <w:spacing w:after="40"/>
      </w:pPr>
    </w:p>
    <w:p>
      <w:pPr>
        <w:pStyle w:val="Heading2"/>
      </w:pPr>
      <w:r>
        <w:rPr/>
        <w:t>1. Scope</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5238"/>
        <w:gridCol w:w="5130"/>
      </w:tblGrid>
      <w:tr>
        <w:trPr>
          <w:cantSplit/>
          <w:tblHeader w:val="true"/>
        </w:trPr>
        <w:tc>
          <w:tcPr>
            <w:tcW w:type="dxa" w:w="5238"/>
            <w:shd w:val="clear" w:color="auto" w:fill="1d4ed8"/>
          </w:tcPr>
          <w:p>
            <w:pPr>
              <w:spacing w:after="0"/>
            </w:pPr>
            <w:r>
              <w:rPr>
                <w:b/>
                <w:color w:val="FFFFFF"/>
                <w:sz w:val="18"/>
              </w:rPr>
              <w:t>Item</w:t>
            </w:r>
          </w:p>
        </w:tc>
        <w:tc>
          <w:tcPr>
            <w:tcW w:type="dxa" w:w="5130"/>
            <w:shd w:val="clear" w:color="auto" w:fill="1d4ed8"/>
          </w:tcPr>
          <w:p>
            <w:pPr>
              <w:spacing w:after="0"/>
            </w:pPr>
            <w:r>
              <w:rPr>
                <w:b/>
                <w:color w:val="FFFFFF"/>
                <w:sz w:val="18"/>
              </w:rPr>
              <w:t>Value</w:t>
            </w:r>
          </w:p>
        </w:tc>
      </w:tr>
      <w:tr>
        <w:trPr>
          <w:cantSplit/>
        </w:trPr>
        <w:tc>
          <w:tcPr>
            <w:tcW w:type="dxa" w:w="5238"/>
          </w:tcPr>
          <w:p>
            <w:pPr>
              <w:spacing w:after="0"/>
            </w:pPr>
            <w:r>
              <w:rPr>
                <w:sz w:val="18"/>
              </w:rPr>
              <w:t>Apps in scope</w:t>
            </w:r>
          </w:p>
        </w:tc>
        <w:tc>
          <w:tcPr>
            <w:tcW w:type="dxa" w:w="5130"/>
          </w:tcPr>
          <w:p>
            <w:pPr>
              <w:spacing w:after="0"/>
            </w:pPr>
            <w:r>
              <w:rPr>
                <w:sz w:val="18"/>
                <w:highlight w:val="yellow"/>
              </w:rPr>
              <w:t>[APPS REQUESTED]</w:t>
            </w:r>
          </w:p>
        </w:tc>
      </w:tr>
      <w:tr>
        <w:trPr>
          <w:cantSplit/>
        </w:trPr>
        <w:tc>
          <w:tcPr>
            <w:tcW w:type="dxa" w:w="5238"/>
            <w:shd w:val="clear" w:color="auto" w:fill="f1f5f9"/>
          </w:tcPr>
          <w:p>
            <w:pPr>
              <w:spacing w:after="0"/>
            </w:pPr>
            <w:r>
              <w:rPr>
                <w:sz w:val="18"/>
              </w:rPr>
              <w:t>Tiers in scope</w:t>
            </w:r>
          </w:p>
        </w:tc>
        <w:tc>
          <w:tcPr>
            <w:tcW w:type="dxa" w:w="5130"/>
            <w:shd w:val="clear" w:color="auto" w:fill="f1f5f9"/>
          </w:tcPr>
          <w:p>
            <w:pPr>
              <w:spacing w:after="0"/>
            </w:pPr>
            <w:r>
              <w:rPr>
                <w:sz w:val="18"/>
                <w:highlight w:val="yellow"/>
              </w:rPr>
              <w:t>[TIERS REQUESTED]</w:t>
            </w:r>
          </w:p>
        </w:tc>
      </w:tr>
      <w:tr>
        <w:trPr>
          <w:cantSplit/>
        </w:trPr>
        <w:tc>
          <w:tcPr>
            <w:tcW w:type="dxa" w:w="5238"/>
          </w:tcPr>
          <w:p>
            <w:pPr>
              <w:spacing w:after="0"/>
            </w:pPr>
            <w:r>
              <w:rPr>
                <w:sz w:val="18"/>
              </w:rPr>
              <w:t>Connect AI modes in scope (tier 3)</w:t>
            </w:r>
          </w:p>
        </w:tc>
        <w:tc>
          <w:tcPr>
            <w:tcW w:type="dxa" w:w="5130"/>
          </w:tcPr>
          <w:p>
            <w:pPr>
              <w:spacing w:after="0"/>
            </w:pPr>
            <w:r>
              <w:rPr>
                <w:sz w:val="18"/>
                <w:highlight w:val="yellow"/>
              </w:rPr>
              <w:t>[NONE / WRITE ONLY / WRITE AND READ]</w:t>
            </w:r>
          </w:p>
        </w:tc>
      </w:tr>
      <w:tr>
        <w:trPr>
          <w:cantSplit/>
        </w:trPr>
        <w:tc>
          <w:tcPr>
            <w:tcW w:type="dxa" w:w="5238"/>
            <w:shd w:val="clear" w:color="auto" w:fill="f1f5f9"/>
          </w:tcPr>
          <w:p>
            <w:pPr>
              <w:spacing w:after="0"/>
            </w:pPr>
            <w:r>
              <w:rPr>
                <w:sz w:val="18"/>
              </w:rPr>
              <w:t>Approved AI platform and account type (tier 3)</w:t>
            </w:r>
          </w:p>
        </w:tc>
        <w:tc>
          <w:tcPr>
            <w:tcW w:type="dxa" w:w="5130"/>
            <w:shd w:val="clear" w:color="auto" w:fill="f1f5f9"/>
          </w:tcPr>
          <w:p>
            <w:pPr>
              <w:spacing w:after="0"/>
            </w:pPr>
            <w:r>
              <w:rPr>
                <w:sz w:val="18"/>
                <w:highlight w:val="yellow"/>
              </w:rPr>
              <w:t>[AI PLATFORM]</w:t>
            </w:r>
          </w:p>
        </w:tc>
      </w:tr>
      <w:tr>
        <w:trPr>
          <w:cantSplit/>
        </w:trPr>
        <w:tc>
          <w:tcPr>
            <w:tcW w:type="dxa" w:w="5238"/>
          </w:tcPr>
          <w:p>
            <w:pPr>
              <w:spacing w:after="0"/>
            </w:pPr>
            <w:r>
              <w:rPr>
                <w:sz w:val="18"/>
              </w:rPr>
              <w:t>Highest data classification</w:t>
            </w:r>
          </w:p>
        </w:tc>
        <w:tc>
          <w:tcPr>
            <w:tcW w:type="dxa" w:w="5130"/>
          </w:tcPr>
          <w:p>
            <w:pPr>
              <w:spacing w:after="0"/>
            </w:pPr>
            <w:r>
              <w:rPr>
                <w:sz w:val="18"/>
                <w:highlight w:val="yellow"/>
              </w:rPr>
              <w:t>[DATA CLASSIFICATION]</w:t>
            </w:r>
          </w:p>
        </w:tc>
      </w:tr>
    </w:tbl>
    <w:p>
      <w:pPr>
        <w:spacing w:after="40"/>
      </w:pPr>
    </w:p>
    <w:p>
      <w:pPr>
        <w:pStyle w:val="Heading2"/>
      </w:pPr>
      <w:r>
        <w:rPr/>
        <w:t>2. Components</w:t>
      </w:r>
    </w:p>
    <w:p>
      <w:pPr>
        <w:keepNext/>
        <w:spacing w:after="40"/>
        <w:jc w:val="center"/>
      </w:pPr>
      <w:r>
        <w:drawing>
          <wp:inline xmlns:a="http://schemas.openxmlformats.org/drawingml/2006/main" xmlns:pic="http://schemas.openxmlformats.org/drawingml/2006/picture">
            <wp:extent cx="6583680" cy="5596128"/>
            <wp:docPr id="2" name="Picture 2"/>
            <wp:cNvGraphicFramePr>
              <a:graphicFrameLocks noChangeAspect="1"/>
            </wp:cNvGraphicFramePr>
            <a:graphic>
              <a:graphicData uri="http://schemas.openxmlformats.org/drawingml/2006/picture">
                <pic:pic>
                  <pic:nvPicPr>
                    <pic:cNvPr id="0" name="arch-components.png"/>
                    <pic:cNvPicPr/>
                  </pic:nvPicPr>
                  <pic:blipFill>
                    <a:blip r:embed="rId14"/>
                    <a:stretch>
                      <a:fillRect/>
                    </a:stretch>
                  </pic:blipFill>
                  <pic:spPr>
                    <a:xfrm>
                      <a:off x="0" y="0"/>
                      <a:ext cx="6583680" cy="5596128"/>
                    </a:xfrm>
                    <a:prstGeom prst="rect"/>
                  </pic:spPr>
                </pic:pic>
              </a:graphicData>
            </a:graphic>
          </wp:inline>
        </w:drawing>
      </w:r>
    </w:p>
    <w:p>
      <w:pPr>
        <w:spacing w:after="200"/>
        <w:jc w:val="center"/>
      </w:pPr>
      <w:r>
        <w:rPr>
          <w:i/>
          <w:color w:val="475569"/>
          <w:sz w:val="16"/>
        </w:rPr>
        <w:t>Figure 1. SPERT</w:t>
      </w:r>
      <w:r>
        <w:rPr>
          <w:i/>
          <w:color w:val="475569"/>
          <w:sz w:val="16"/>
          <w:vertAlign w:val="superscript"/>
        </w:rPr>
        <w:t>®</w:t>
      </w:r>
      <w:r>
        <w:rPr>
          <w:i/>
          <w:color w:val="475569"/>
          <w:sz w:val="16"/>
        </w:rPr>
        <w:t xml:space="preserve"> Suite components. The numbered marks on each box show the tier or tiers that use it.</w:t>
      </w:r>
    </w:p>
    <w:p>
      <w:r>
        <w:rPr/>
        <w:t>Each app is a web page served by Vercel that runs in the user's browser. The optional features share one Google Firebase project: Firebase Authentication, Cloud Firestore (saved projects and the Connect AI relay) and Cloud Functions (sharing invitations, Connect AI pairing, and the Connect AI server). Invitation emails go through Resend.</w:t>
      </w:r>
    </w:p>
    <w:p>
      <w:pPr>
        <w:pStyle w:val="Heading2"/>
      </w:pPr>
      <w:r>
        <w:rPr/>
        <w:t>3. Tier 1: local-only use (the default)</w:t>
      </w:r>
    </w:p>
    <w:p>
      <w:pPr>
        <w:keepNext/>
        <w:spacing w:after="40"/>
        <w:jc w:val="center"/>
      </w:pPr>
      <w:r>
        <w:drawing>
          <wp:inline xmlns:a="http://schemas.openxmlformats.org/drawingml/2006/main" xmlns:pic="http://schemas.openxmlformats.org/drawingml/2006/picture">
            <wp:extent cx="6583680" cy="3730752"/>
            <wp:docPr id="3" name="Picture 3"/>
            <wp:cNvGraphicFramePr>
              <a:graphicFrameLocks noChangeAspect="1"/>
            </wp:cNvGraphicFramePr>
            <a:graphic>
              <a:graphicData uri="http://schemas.openxmlformats.org/drawingml/2006/picture">
                <pic:pic>
                  <pic:nvPicPr>
                    <pic:cNvPr id="0" name="arch-local.png"/>
                    <pic:cNvPicPr/>
                  </pic:nvPicPr>
                  <pic:blipFill>
                    <a:blip r:embed="rId15"/>
                    <a:stretch>
                      <a:fillRect/>
                    </a:stretch>
                  </pic:blipFill>
                  <pic:spPr>
                    <a:xfrm>
                      <a:off x="0" y="0"/>
                      <a:ext cx="6583680" cy="3730752"/>
                    </a:xfrm>
                    <a:prstGeom prst="rect"/>
                  </pic:spPr>
                </pic:pic>
              </a:graphicData>
            </a:graphic>
          </wp:inline>
        </w:drawing>
      </w:r>
    </w:p>
    <w:p>
      <w:pPr>
        <w:spacing w:after="200"/>
        <w:jc w:val="center"/>
      </w:pPr>
      <w:r>
        <w:rPr>
          <w:i/>
          <w:color w:val="475569"/>
          <w:sz w:val="16"/>
        </w:rPr>
        <w:t>Figure 2. Tier 1 data flows. Nothing in this tier sends project data off the device.</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340"/>
        <w:gridCol w:w="3376"/>
        <w:gridCol w:w="4436"/>
        <w:gridCol w:w="2216"/>
      </w:tblGrid>
      <w:tr>
        <w:trPr>
          <w:cantSplit/>
          <w:tblHeader w:val="true"/>
        </w:trPr>
        <w:tc>
          <w:tcPr>
            <w:tcW w:type="dxa" w:w="340"/>
            <w:shd w:val="clear" w:color="auto" w:fill="1d4ed8"/>
          </w:tcPr>
          <w:p>
            <w:pPr>
              <w:spacing w:after="0"/>
            </w:pPr>
            <w:r>
              <w:rPr>
                <w:b/>
                <w:color w:val="FFFFFF"/>
                <w:sz w:val="18"/>
              </w:rPr>
              <w:t>#</w:t>
            </w:r>
          </w:p>
        </w:tc>
        <w:tc>
          <w:tcPr>
            <w:tcW w:type="dxa" w:w="3376"/>
            <w:shd w:val="clear" w:color="auto" w:fill="1d4ed8"/>
          </w:tcPr>
          <w:p>
            <w:pPr>
              <w:spacing w:after="0"/>
            </w:pPr>
            <w:r>
              <w:rPr>
                <w:b/>
                <w:color w:val="FFFFFF"/>
                <w:sz w:val="18"/>
              </w:rPr>
              <w:t>From and to</w:t>
            </w:r>
          </w:p>
        </w:tc>
        <w:tc>
          <w:tcPr>
            <w:tcW w:type="dxa" w:w="4436"/>
            <w:shd w:val="clear" w:color="auto" w:fill="1d4ed8"/>
          </w:tcPr>
          <w:p>
            <w:pPr>
              <w:spacing w:after="0"/>
            </w:pPr>
            <w:r>
              <w:rPr>
                <w:b/>
                <w:color w:val="FFFFFF"/>
                <w:sz w:val="18"/>
              </w:rPr>
              <w:t>What travels</w:t>
            </w:r>
          </w:p>
        </w:tc>
        <w:tc>
          <w:tcPr>
            <w:tcW w:type="dxa" w:w="2216"/>
            <w:shd w:val="clear" w:color="auto" w:fill="1d4ed8"/>
          </w:tcPr>
          <w:p>
            <w:pPr>
              <w:spacing w:after="0"/>
            </w:pPr>
            <w:r>
              <w:rPr>
                <w:b/>
                <w:color w:val="FFFFFF"/>
                <w:sz w:val="18"/>
              </w:rPr>
              <w:t>When</w:t>
            </w:r>
          </w:p>
        </w:tc>
      </w:tr>
      <w:tr>
        <w:trPr>
          <w:cantSplit/>
        </w:trPr>
        <w:tc>
          <w:tcPr>
            <w:tcW w:type="dxa" w:w="340"/>
          </w:tcPr>
          <w:p>
            <w:pPr>
              <w:spacing w:after="0"/>
            </w:pPr>
            <w:r>
              <w:rPr>
                <w:sz w:val="18"/>
              </w:rPr>
              <w:t>1</w:t>
            </w:r>
          </w:p>
        </w:tc>
        <w:tc>
          <w:tcPr>
            <w:tcW w:type="dxa" w:w="3376"/>
          </w:tcPr>
          <w:p>
            <w:pPr>
              <w:spacing w:after="0"/>
            </w:pPr>
            <w:r>
              <w:rPr>
                <w:sz w:val="18"/>
              </w:rPr>
              <w:t>App and browser storage</w:t>
            </w:r>
          </w:p>
        </w:tc>
        <w:tc>
          <w:tcPr>
            <w:tcW w:type="dxa" w:w="4436"/>
          </w:tcPr>
          <w:p>
            <w:pPr>
              <w:spacing w:after="0"/>
            </w:pPr>
            <w:r>
              <w:rPr>
                <w:sz w:val="18"/>
              </w:rPr>
              <w:t>Projects and settings, on the device</w:t>
            </w:r>
          </w:p>
        </w:tc>
        <w:tc>
          <w:tcPr>
            <w:tcW w:type="dxa" w:w="2216"/>
          </w:tcPr>
          <w:p>
            <w:pPr>
              <w:spacing w:after="0"/>
            </w:pPr>
            <w:r>
              <w:rPr>
                <w:sz w:val="18"/>
              </w:rPr>
              <w:t>Always</w:t>
            </w:r>
          </w:p>
        </w:tc>
      </w:tr>
      <w:tr>
        <w:trPr>
          <w:cantSplit/>
        </w:trPr>
        <w:tc>
          <w:tcPr>
            <w:tcW w:type="dxa" w:w="340"/>
            <w:shd w:val="clear" w:color="auto" w:fill="f1f5f9"/>
          </w:tcPr>
          <w:p>
            <w:pPr>
              <w:spacing w:after="0"/>
            </w:pPr>
            <w:r>
              <w:rPr>
                <w:sz w:val="18"/>
              </w:rPr>
              <w:t>2</w:t>
            </w:r>
          </w:p>
        </w:tc>
        <w:tc>
          <w:tcPr>
            <w:tcW w:type="dxa" w:w="3376"/>
            <w:shd w:val="clear" w:color="auto" w:fill="f1f5f9"/>
          </w:tcPr>
          <w:p>
            <w:pPr>
              <w:spacing w:after="0"/>
            </w:pPr>
            <w:r>
              <w:rPr>
                <w:sz w:val="18"/>
              </w:rPr>
              <w:t>Vercel to browser</w:t>
            </w:r>
          </w:p>
        </w:tc>
        <w:tc>
          <w:tcPr>
            <w:tcW w:type="dxa" w:w="4436"/>
            <w:shd w:val="clear" w:color="auto" w:fill="f1f5f9"/>
          </w:tcPr>
          <w:p>
            <w:pPr>
              <w:spacing w:after="0"/>
            </w:pPr>
            <w:r>
              <w:rPr>
                <w:sz w:val="18"/>
              </w:rPr>
              <w:t>Pages and code; Vercel receives IP address and browser type (</w:t>
            </w:r>
            <w:hyperlink r:id="rId12">
              <w:r>
                <w:rPr>
                  <w:color w:val="1d4ed8"/>
                  <w:sz w:val="18"/>
                  <w:u w:val="single"/>
                </w:rPr>
                <w:t xml:space="preserve">Privacy</w:t>
              </w:r>
            </w:hyperlink>
            <w:r>
              <w:rPr>
                <w:sz w:val="18"/>
              </w:rPr>
              <w:t xml:space="preserve"> §1)</w:t>
            </w:r>
          </w:p>
        </w:tc>
        <w:tc>
          <w:tcPr>
            <w:tcW w:type="dxa" w:w="2216"/>
            <w:shd w:val="clear" w:color="auto" w:fill="f1f5f9"/>
          </w:tcPr>
          <w:p>
            <w:pPr>
              <w:spacing w:after="0"/>
            </w:pPr>
            <w:r>
              <w:rPr>
                <w:sz w:val="18"/>
              </w:rPr>
              <w:t>Every page load</w:t>
            </w:r>
          </w:p>
        </w:tc>
      </w:tr>
      <w:tr>
        <w:trPr>
          <w:cantSplit/>
        </w:trPr>
        <w:tc>
          <w:tcPr>
            <w:tcW w:type="dxa" w:w="340"/>
          </w:tcPr>
          <w:p>
            <w:pPr>
              <w:spacing w:after="0"/>
            </w:pPr>
            <w:r>
              <w:rPr>
                <w:sz w:val="18"/>
              </w:rPr>
              <w:t>3</w:t>
            </w:r>
          </w:p>
        </w:tc>
        <w:tc>
          <w:tcPr>
            <w:tcW w:type="dxa" w:w="3376"/>
          </w:tcPr>
          <w:p>
            <w:pPr>
              <w:spacing w:after="0"/>
            </w:pPr>
            <w:r>
              <w:rPr>
                <w:sz w:val="18"/>
              </w:rPr>
              <w:t>App to the user's files</w:t>
            </w:r>
          </w:p>
        </w:tc>
        <w:tc>
          <w:tcPr>
            <w:tcW w:type="dxa" w:w="4436"/>
          </w:tcPr>
          <w:p>
            <w:pPr>
              <w:spacing w:after="0"/>
            </w:pPr>
            <w:r>
              <w:rPr>
                <w:sz w:val="18"/>
              </w:rPr>
              <w:t>Export files</w:t>
            </w:r>
          </w:p>
        </w:tc>
        <w:tc>
          <w:tcPr>
            <w:tcW w:type="dxa" w:w="2216"/>
          </w:tcPr>
          <w:p>
            <w:pPr>
              <w:spacing w:after="0"/>
            </w:pPr>
            <w:r>
              <w:rPr>
                <w:sz w:val="18"/>
              </w:rPr>
              <w:t>When the user exports</w:t>
            </w:r>
          </w:p>
        </w:tc>
      </w:tr>
      <w:tr>
        <w:trPr>
          <w:cantSplit/>
        </w:trPr>
        <w:tc>
          <w:tcPr>
            <w:tcW w:type="dxa" w:w="340"/>
            <w:shd w:val="clear" w:color="auto" w:fill="f1f5f9"/>
          </w:tcPr>
          <w:p>
            <w:pPr>
              <w:spacing w:after="0"/>
            </w:pPr>
            <w:r>
              <w:rPr>
                <w:sz w:val="18"/>
              </w:rPr>
              <w:t>4</w:t>
            </w:r>
          </w:p>
        </w:tc>
        <w:tc>
          <w:tcPr>
            <w:tcW w:type="dxa" w:w="3376"/>
            <w:shd w:val="clear" w:color="auto" w:fill="f1f5f9"/>
          </w:tcPr>
          <w:p>
            <w:pPr>
              <w:spacing w:after="0"/>
            </w:pPr>
            <w:r>
              <w:rPr>
                <w:sz w:val="18"/>
              </w:rPr>
              <w:t>SPERT</w:t>
            </w:r>
            <w:r>
              <w:rPr>
                <w:sz w:val="18"/>
                <w:vertAlign w:val="superscript"/>
              </w:rPr>
              <w:t>®</w:t>
            </w:r>
            <w:r>
              <w:rPr>
                <w:sz w:val="18"/>
              </w:rPr>
              <w:t xml:space="preserve"> Scheduler to Nager.Date</w:t>
            </w:r>
          </w:p>
        </w:tc>
        <w:tc>
          <w:tcPr>
            <w:tcW w:type="dxa" w:w="4436"/>
            <w:shd w:val="clear" w:color="auto" w:fill="f1f5f9"/>
          </w:tcPr>
          <w:p>
            <w:pPr>
              <w:spacing w:after="0"/>
            </w:pPr>
            <w:r>
              <w:rPr>
                <w:sz w:val="18"/>
              </w:rPr>
              <w:t>Country list on opening the Calendar page; country code and year when loading holidays; the service also sees the IP address (</w:t>
            </w:r>
            <w:hyperlink r:id="rId12">
              <w:r>
                <w:rPr>
                  <w:color w:val="1d4ed8"/>
                  <w:sz w:val="18"/>
                  <w:u w:val="single"/>
                </w:rPr>
                <w:t xml:space="preserve">Privacy</w:t>
              </w:r>
            </w:hyperlink>
            <w:r>
              <w:rPr>
                <w:sz w:val="18"/>
              </w:rPr>
              <w:t xml:space="preserve"> §1)</w:t>
            </w:r>
          </w:p>
        </w:tc>
        <w:tc>
          <w:tcPr>
            <w:tcW w:type="dxa" w:w="2216"/>
            <w:shd w:val="clear" w:color="auto" w:fill="f1f5f9"/>
          </w:tcPr>
          <w:p>
            <w:pPr>
              <w:spacing w:after="0"/>
            </w:pPr>
            <w:r>
              <w:rPr>
                <w:sz w:val="18"/>
              </w:rPr>
              <w:t>Calendar page only</w:t>
            </w:r>
          </w:p>
        </w:tc>
      </w:tr>
      <w:tr>
        <w:trPr>
          <w:cantSplit/>
        </w:trPr>
        <w:tc>
          <w:tcPr>
            <w:tcW w:type="dxa" w:w="340"/>
          </w:tcPr>
          <w:p>
            <w:pPr>
              <w:spacing w:after="0"/>
            </w:pPr>
            <w:r>
              <w:rPr>
                <w:sz w:val="18"/>
              </w:rPr>
              <w:t>5</w:t>
            </w:r>
          </w:p>
        </w:tc>
        <w:tc>
          <w:tcPr>
            <w:tcW w:type="dxa" w:w="3376"/>
          </w:tcPr>
          <w:p>
            <w:pPr>
              <w:spacing w:after="0"/>
            </w:pPr>
            <w:r>
              <w:rPr>
                <w:sz w:val="18"/>
              </w:rPr>
              <w:t>SPERT</w:t>
            </w:r>
            <w:r>
              <w:rPr>
                <w:sz w:val="18"/>
                <w:vertAlign w:val="superscript"/>
              </w:rPr>
              <w:t>®</w:t>
            </w:r>
            <w:r>
              <w:rPr>
                <w:sz w:val="18"/>
              </w:rPr>
              <w:t xml:space="preserve"> Story Map to a SPERT</w:t>
            </w:r>
            <w:r>
              <w:rPr>
                <w:sz w:val="18"/>
                <w:vertAlign w:val="superscript"/>
              </w:rPr>
              <w:t>®</w:t>
            </w:r>
            <w:r>
              <w:rPr>
                <w:sz w:val="18"/>
              </w:rPr>
              <w:t xml:space="preserve"> Forecaster tab</w:t>
            </w:r>
          </w:p>
        </w:tc>
        <w:tc>
          <w:tcPr>
            <w:tcW w:type="dxa" w:w="4436"/>
          </w:tcPr>
          <w:p>
            <w:pPr>
              <w:spacing w:after="0"/>
            </w:pPr>
            <w:r>
              <w:rPr>
                <w:sz w:val="18"/>
              </w:rPr>
              <w:t>A backlog, passed between two open browser tabs, not through a server</w:t>
            </w:r>
          </w:p>
        </w:tc>
        <w:tc>
          <w:tcPr>
            <w:tcW w:type="dxa" w:w="2216"/>
          </w:tcPr>
          <w:p>
            <w:pPr>
              <w:spacing w:after="0"/>
            </w:pPr>
            <w:r>
              <w:rPr>
                <w:sz w:val="18"/>
              </w:rPr>
              <w:t>Only when the user sends one</w:t>
            </w:r>
          </w:p>
        </w:tc>
      </w:tr>
    </w:tbl>
    <w:p>
      <w:pPr>
        <w:spacing w:after="40"/>
      </w:pPr>
    </w:p>
    <w:p>
      <w:pPr>
        <w:pStyle w:val="Heading2"/>
      </w:pPr>
      <w:r>
        <w:rPr/>
        <w:t>4. Tier 2: cloud storage and sharing</w:t>
      </w:r>
    </w:p>
    <w:p>
      <w:pPr>
        <w:keepNext/>
        <w:spacing w:after="40"/>
        <w:jc w:val="center"/>
      </w:pPr>
      <w:r>
        <w:drawing>
          <wp:inline xmlns:a="http://schemas.openxmlformats.org/drawingml/2006/main" xmlns:pic="http://schemas.openxmlformats.org/drawingml/2006/picture">
            <wp:extent cx="6583680" cy="4740250"/>
            <wp:docPr id="4" name="Picture 4"/>
            <wp:cNvGraphicFramePr>
              <a:graphicFrameLocks noChangeAspect="1"/>
            </wp:cNvGraphicFramePr>
            <a:graphic>
              <a:graphicData uri="http://schemas.openxmlformats.org/drawingml/2006/picture">
                <pic:pic>
                  <pic:nvPicPr>
                    <pic:cNvPr id="0" name="arch-cloud.png"/>
                    <pic:cNvPicPr/>
                  </pic:nvPicPr>
                  <pic:blipFill>
                    <a:blip r:embed="rId16"/>
                    <a:stretch>
                      <a:fillRect/>
                    </a:stretch>
                  </pic:blipFill>
                  <pic:spPr>
                    <a:xfrm>
                      <a:off x="0" y="0"/>
                      <a:ext cx="6583680" cy="4740250"/>
                    </a:xfrm>
                    <a:prstGeom prst="rect"/>
                  </pic:spPr>
                </pic:pic>
              </a:graphicData>
            </a:graphic>
          </wp:inline>
        </w:drawing>
      </w:r>
    </w:p>
    <w:p>
      <w:pPr>
        <w:spacing w:after="200"/>
        <w:jc w:val="center"/>
      </w:pPr>
      <w:r>
        <w:rPr>
          <w:i/>
          <w:color w:val="475569"/>
          <w:sz w:val="16"/>
        </w:rPr>
        <w:t xml:space="preserve">Figure 3. Tier 2 data flows. Cloud storage needs sign-in and acceptance of the Terms and </w:t>
      </w:r>
      <w:hyperlink r:id="rId12">
        <w:r>
          <w:rPr>
            <w:color w:val="1d4ed8"/>
            <w:sz w:val="16"/>
            <w:u w:val="single"/>
          </w:rPr>
          <w:t xml:space="preserve">Privacy Policy</w:t>
        </w:r>
      </w:hyperlink>
      <w:r>
        <w:rPr>
          <w:i/>
          <w:color w:val="475569"/>
          <w:sz w:val="16"/>
        </w:rPr>
        <w:t>.</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362"/>
        <w:gridCol w:w="3940"/>
        <w:gridCol w:w="6067"/>
      </w:tblGrid>
      <w:tr>
        <w:trPr>
          <w:cantSplit/>
          <w:tblHeader w:val="true"/>
        </w:trPr>
        <w:tc>
          <w:tcPr>
            <w:tcW w:type="dxa" w:w="362"/>
            <w:shd w:val="clear" w:color="auto" w:fill="1d4ed8"/>
          </w:tcPr>
          <w:p>
            <w:pPr>
              <w:spacing w:after="0"/>
            </w:pPr>
            <w:r>
              <w:rPr>
                <w:b/>
                <w:color w:val="FFFFFF"/>
                <w:sz w:val="18"/>
              </w:rPr>
              <w:t>#</w:t>
            </w:r>
          </w:p>
        </w:tc>
        <w:tc>
          <w:tcPr>
            <w:tcW w:type="dxa" w:w="3940"/>
            <w:shd w:val="clear" w:color="auto" w:fill="1d4ed8"/>
          </w:tcPr>
          <w:p>
            <w:pPr>
              <w:spacing w:after="0"/>
            </w:pPr>
            <w:r>
              <w:rPr>
                <w:b/>
                <w:color w:val="FFFFFF"/>
                <w:sz w:val="18"/>
              </w:rPr>
              <w:t>From and to</w:t>
            </w:r>
          </w:p>
        </w:tc>
        <w:tc>
          <w:tcPr>
            <w:tcW w:type="dxa" w:w="6067"/>
            <w:shd w:val="clear" w:color="auto" w:fill="1d4ed8"/>
          </w:tcPr>
          <w:p>
            <w:pPr>
              <w:spacing w:after="0"/>
            </w:pPr>
            <w:r>
              <w:rPr>
                <w:b/>
                <w:color w:val="FFFFFF"/>
                <w:sz w:val="18"/>
              </w:rPr>
              <w:t>What travels</w:t>
            </w:r>
          </w:p>
        </w:tc>
      </w:tr>
      <w:tr>
        <w:trPr>
          <w:cantSplit/>
        </w:trPr>
        <w:tc>
          <w:tcPr>
            <w:tcW w:type="dxa" w:w="362"/>
          </w:tcPr>
          <w:p>
            <w:pPr>
              <w:spacing w:after="0"/>
            </w:pPr>
            <w:r>
              <w:rPr>
                <w:sz w:val="18"/>
              </w:rPr>
              <w:t>1</w:t>
            </w:r>
          </w:p>
        </w:tc>
        <w:tc>
          <w:tcPr>
            <w:tcW w:type="dxa" w:w="3940"/>
          </w:tcPr>
          <w:p>
            <w:pPr>
              <w:spacing w:after="0"/>
            </w:pPr>
            <w:r>
              <w:rPr>
                <w:sz w:val="18"/>
              </w:rPr>
              <w:t>Browser and the sign-in provider</w:t>
            </w:r>
          </w:p>
        </w:tc>
        <w:tc>
          <w:tcPr>
            <w:tcW w:type="dxa" w:w="6067"/>
          </w:tcPr>
          <w:p>
            <w:pPr>
              <w:spacing w:after="0"/>
            </w:pPr>
            <w:r>
              <w:rPr>
                <w:sz w:val="18"/>
              </w:rPr>
              <w:t xml:space="preserve">Google or Microsoft sign-in, including </w:t>
            </w:r>
            <w:r>
              <w:rPr>
                <w:sz w:val="18"/>
                <w:highlight w:val="yellow"/>
              </w:rPr>
              <w:t>[ORGANIZATION]</w:t>
            </w:r>
            <w:r>
              <w:rPr>
                <w:sz w:val="18"/>
              </w:rPr>
              <w:t>'s work accounts. No password reaches SPERT</w:t>
            </w:r>
            <w:r>
              <w:rPr>
                <w:sz w:val="18"/>
                <w:vertAlign w:val="superscript"/>
              </w:rPr>
              <w:t>®</w:t>
            </w:r>
            <w:r>
              <w:rPr>
                <w:sz w:val="18"/>
              </w:rPr>
              <w:t xml:space="preserve"> Suite</w:t>
            </w:r>
          </w:p>
        </w:tc>
      </w:tr>
      <w:tr>
        <w:trPr>
          <w:cantSplit/>
        </w:trPr>
        <w:tc>
          <w:tcPr>
            <w:tcW w:type="dxa" w:w="362"/>
            <w:shd w:val="clear" w:color="auto" w:fill="f1f5f9"/>
          </w:tcPr>
          <w:p>
            <w:pPr>
              <w:spacing w:after="0"/>
            </w:pPr>
            <w:r>
              <w:rPr>
                <w:sz w:val="18"/>
              </w:rPr>
              <w:t>2</w:t>
            </w:r>
          </w:p>
        </w:tc>
        <w:tc>
          <w:tcPr>
            <w:tcW w:type="dxa" w:w="3940"/>
            <w:shd w:val="clear" w:color="auto" w:fill="f1f5f9"/>
          </w:tcPr>
          <w:p>
            <w:pPr>
              <w:spacing w:after="0"/>
            </w:pPr>
            <w:r>
              <w:rPr>
                <w:sz w:val="18"/>
              </w:rPr>
              <w:t>Browser and Firebase Authentication</w:t>
            </w:r>
          </w:p>
        </w:tc>
        <w:tc>
          <w:tcPr>
            <w:tcW w:type="dxa" w:w="6067"/>
            <w:shd w:val="clear" w:color="auto" w:fill="f1f5f9"/>
          </w:tcPr>
          <w:p>
            <w:pPr>
              <w:spacing w:after="0"/>
            </w:pPr>
            <w:r>
              <w:rPr>
                <w:sz w:val="18"/>
              </w:rPr>
              <w:t>The sign-in result; the operator receives name and email (</w:t>
            </w:r>
            <w:hyperlink r:id="rId12">
              <w:r>
                <w:rPr>
                  <w:color w:val="1d4ed8"/>
                  <w:sz w:val="18"/>
                  <w:u w:val="single"/>
                </w:rPr>
                <w:t xml:space="preserve">Privacy</w:t>
              </w:r>
            </w:hyperlink>
            <w:r>
              <w:rPr>
                <w:sz w:val="18"/>
              </w:rPr>
              <w:t xml:space="preserve"> §2.1)</w:t>
            </w:r>
          </w:p>
        </w:tc>
      </w:tr>
      <w:tr>
        <w:trPr>
          <w:cantSplit/>
        </w:trPr>
        <w:tc>
          <w:tcPr>
            <w:tcW w:type="dxa" w:w="362"/>
          </w:tcPr>
          <w:p>
            <w:pPr>
              <w:spacing w:after="0"/>
            </w:pPr>
            <w:r>
              <w:rPr>
                <w:sz w:val="18"/>
              </w:rPr>
              <w:t>3</w:t>
            </w:r>
          </w:p>
        </w:tc>
        <w:tc>
          <w:tcPr>
            <w:tcW w:type="dxa" w:w="3940"/>
          </w:tcPr>
          <w:p>
            <w:pPr>
              <w:spacing w:after="0"/>
            </w:pPr>
            <w:r>
              <w:rPr>
                <w:sz w:val="18"/>
              </w:rPr>
              <w:t xml:space="preserve">Browser and Cloud Firestore (US, </w:t>
            </w:r>
            <w:r>
              <w:rPr>
                <w:rFonts w:ascii="Consolas" w:hAnsi="Consolas"/>
                <w:sz w:val="16"/>
              </w:rPr>
              <w:t>nam5</w:t>
            </w:r>
            <w:r>
              <w:rPr>
                <w:sz w:val="18"/>
              </w:rPr>
              <w:t>)</w:t>
            </w:r>
          </w:p>
        </w:tc>
        <w:tc>
          <w:tcPr>
            <w:tcW w:type="dxa" w:w="6067"/>
          </w:tcPr>
          <w:p>
            <w:pPr>
              <w:spacing w:after="0"/>
            </w:pPr>
            <w:r>
              <w:rPr>
                <w:sz w:val="18"/>
              </w:rPr>
              <w:t>Projects, settings, a shared profile (name, email) and the Terms acceptance record, checked by security rules</w:t>
            </w:r>
          </w:p>
        </w:tc>
      </w:tr>
      <w:tr>
        <w:trPr>
          <w:cantSplit/>
        </w:trPr>
        <w:tc>
          <w:tcPr>
            <w:tcW w:type="dxa" w:w="362"/>
            <w:shd w:val="clear" w:color="auto" w:fill="f1f5f9"/>
          </w:tcPr>
          <w:p>
            <w:pPr>
              <w:spacing w:after="0"/>
            </w:pPr>
            <w:r>
              <w:rPr>
                <w:sz w:val="18"/>
              </w:rPr>
              <w:t>4</w:t>
            </w:r>
          </w:p>
        </w:tc>
        <w:tc>
          <w:tcPr>
            <w:tcW w:type="dxa" w:w="3940"/>
            <w:shd w:val="clear" w:color="auto" w:fill="f1f5f9"/>
          </w:tcPr>
          <w:p>
            <w:pPr>
              <w:spacing w:after="0"/>
            </w:pPr>
            <w:r>
              <w:rPr>
                <w:sz w:val="18"/>
              </w:rPr>
              <w:t>Browser to Cloud Functions (</w:t>
            </w:r>
            <w:r>
              <w:rPr>
                <w:rFonts w:ascii="Consolas" w:hAnsi="Consolas"/>
                <w:sz w:val="16"/>
              </w:rPr>
              <w:t>us-central1</w:t>
            </w:r>
            <w:r>
              <w:rPr>
                <w:sz w:val="18"/>
              </w:rPr>
              <w:t>)</w:t>
            </w:r>
          </w:p>
        </w:tc>
        <w:tc>
          <w:tcPr>
            <w:tcW w:type="dxa" w:w="6067"/>
            <w:shd w:val="clear" w:color="auto" w:fill="f1f5f9"/>
          </w:tcPr>
          <w:p>
            <w:pPr>
              <w:spacing w:after="0"/>
            </w:pPr>
            <w:r>
              <w:rPr>
                <w:sz w:val="18"/>
              </w:rPr>
              <w:t>A sharing invitation: invitee email, role, project id and name</w:t>
            </w:r>
          </w:p>
        </w:tc>
      </w:tr>
      <w:tr>
        <w:trPr>
          <w:cantSplit/>
        </w:trPr>
        <w:tc>
          <w:tcPr>
            <w:tcW w:type="dxa" w:w="362"/>
          </w:tcPr>
          <w:p>
            <w:pPr>
              <w:spacing w:after="0"/>
            </w:pPr>
            <w:r>
              <w:rPr>
                <w:sz w:val="18"/>
              </w:rPr>
              <w:t>5</w:t>
            </w:r>
          </w:p>
        </w:tc>
        <w:tc>
          <w:tcPr>
            <w:tcW w:type="dxa" w:w="3940"/>
          </w:tcPr>
          <w:p>
            <w:pPr>
              <w:spacing w:after="0"/>
            </w:pPr>
            <w:r>
              <w:rPr>
                <w:sz w:val="18"/>
              </w:rPr>
              <w:t>Cloud Functions to Resend</w:t>
            </w:r>
          </w:p>
        </w:tc>
        <w:tc>
          <w:tcPr>
            <w:tcW w:type="dxa" w:w="6067"/>
          </w:tcPr>
          <w:p>
            <w:pPr>
              <w:spacing w:after="0"/>
            </w:pPr>
            <w:r>
              <w:rPr>
                <w:sz w:val="18"/>
              </w:rPr>
              <w:t>The invitation email</w:t>
            </w:r>
          </w:p>
        </w:tc>
      </w:tr>
      <w:tr>
        <w:trPr>
          <w:cantSplit/>
        </w:trPr>
        <w:tc>
          <w:tcPr>
            <w:tcW w:type="dxa" w:w="362"/>
            <w:shd w:val="clear" w:color="auto" w:fill="f1f5f9"/>
          </w:tcPr>
          <w:p>
            <w:pPr>
              <w:spacing w:after="0"/>
            </w:pPr>
            <w:r>
              <w:rPr>
                <w:sz w:val="18"/>
              </w:rPr>
              <w:t>6</w:t>
            </w:r>
          </w:p>
        </w:tc>
        <w:tc>
          <w:tcPr>
            <w:tcW w:type="dxa" w:w="3940"/>
            <w:shd w:val="clear" w:color="auto" w:fill="f1f5f9"/>
          </w:tcPr>
          <w:p>
            <w:pPr>
              <w:spacing w:after="0"/>
            </w:pPr>
            <w:r>
              <w:rPr>
                <w:sz w:val="18"/>
              </w:rPr>
              <w:t>Resend to the invitee</w:t>
            </w:r>
          </w:p>
        </w:tc>
        <w:tc>
          <w:tcPr>
            <w:tcW w:type="dxa" w:w="6067"/>
            <w:shd w:val="clear" w:color="auto" w:fill="f1f5f9"/>
          </w:tcPr>
          <w:p>
            <w:pPr>
              <w:spacing w:after="0"/>
            </w:pPr>
            <w:r>
              <w:rPr>
                <w:sz w:val="18"/>
              </w:rPr>
              <w:t>An email with a link to the project</w:t>
            </w:r>
          </w:p>
        </w:tc>
      </w:tr>
      <w:tr>
        <w:trPr>
          <w:cantSplit/>
        </w:trPr>
        <w:tc>
          <w:tcPr>
            <w:tcW w:type="dxa" w:w="362"/>
          </w:tcPr>
          <w:p>
            <w:pPr>
              <w:spacing w:after="0"/>
            </w:pPr>
            <w:r>
              <w:rPr>
                <w:sz w:val="18"/>
              </w:rPr>
              <w:t>7</w:t>
            </w:r>
          </w:p>
        </w:tc>
        <w:tc>
          <w:tcPr>
            <w:tcW w:type="dxa" w:w="3940"/>
          </w:tcPr>
          <w:p>
            <w:pPr>
              <w:spacing w:after="0"/>
            </w:pPr>
            <w:r>
              <w:rPr>
                <w:sz w:val="18"/>
              </w:rPr>
              <w:t>Collaborator's browser and Firestore</w:t>
            </w:r>
          </w:p>
        </w:tc>
        <w:tc>
          <w:tcPr>
            <w:tcW w:type="dxa" w:w="6067"/>
          </w:tcPr>
          <w:p>
            <w:pPr>
              <w:spacing w:after="0"/>
            </w:pPr>
            <w:r>
              <w:rPr>
                <w:sz w:val="18"/>
              </w:rPr>
              <w:t>The shared project, within the role granted</w:t>
            </w:r>
          </w:p>
        </w:tc>
      </w:tr>
    </w:tbl>
    <w:p>
      <w:pPr>
        <w:spacing w:after="40"/>
      </w:pPr>
    </w:p>
    <w:p>
      <w:pPr>
        <w:pStyle w:val="Heading2"/>
      </w:pPr>
      <w:r>
        <w:rPr/>
        <w:t>5. Tier 3: Connect AI</w:t>
      </w:r>
    </w:p>
    <w:p>
      <w:r>
        <w:rPr/>
        <w:t>Connect AI is offered only in SPERT</w:t>
      </w:r>
      <w:r>
        <w:rPr>
          <w:vertAlign w:val="superscript"/>
        </w:rPr>
        <w:t>®</w:t>
      </w:r>
      <w:r>
        <w:rPr/>
        <w:t xml:space="preserve"> Scheduler and SPERT</w:t>
      </w:r>
      <w:r>
        <w:rPr>
          <w:vertAlign w:val="superscript"/>
        </w:rPr>
        <w:t>®</w:t>
      </w:r>
      <w:r>
        <w:rPr/>
        <w:t xml:space="preserve"> Story Map (Write Mode required, Read Mode optional) and SPERT</w:t>
      </w:r>
      <w:r>
        <w:rPr>
          <w:vertAlign w:val="superscript"/>
        </w:rPr>
        <w:t>®</w:t>
      </w:r>
      <w:r>
        <w:rPr/>
        <w:t xml:space="preserve"> Forecaster (Read Mode only) (</w:t>
      </w:r>
      <w:hyperlink r:id="rId13">
        <w:r>
          <w:rPr>
            <w:color w:val="1d4ed8"/>
            <w:u w:val="single"/>
          </w:rPr>
          <w:t xml:space="preserve">AI Privacy Notice</w:t>
        </w:r>
      </w:hyperlink>
      <w:r>
        <w:rPr/>
        <w:t xml:space="preserve"> §2.3).</w:t>
      </w:r>
    </w:p>
    <w:p>
      <w:pPr>
        <w:keepNext/>
        <w:spacing w:after="40"/>
        <w:jc w:val="center"/>
      </w:pPr>
      <w:r>
        <w:drawing>
          <wp:inline xmlns:a="http://schemas.openxmlformats.org/drawingml/2006/main" xmlns:pic="http://schemas.openxmlformats.org/drawingml/2006/picture">
            <wp:extent cx="6583680" cy="5069434"/>
            <wp:docPr id="5" name="Picture 5"/>
            <wp:cNvGraphicFramePr>
              <a:graphicFrameLocks noChangeAspect="1"/>
            </wp:cNvGraphicFramePr>
            <a:graphic>
              <a:graphicData uri="http://schemas.openxmlformats.org/drawingml/2006/picture">
                <pic:pic>
                  <pic:nvPicPr>
                    <pic:cNvPr id="0" name="arch-connect-ai.png"/>
                    <pic:cNvPicPr/>
                  </pic:nvPicPr>
                  <pic:blipFill>
                    <a:blip r:embed="rId17"/>
                    <a:stretch>
                      <a:fillRect/>
                    </a:stretch>
                  </pic:blipFill>
                  <pic:spPr>
                    <a:xfrm>
                      <a:off x="0" y="0"/>
                      <a:ext cx="6583680" cy="5069434"/>
                    </a:xfrm>
                    <a:prstGeom prst="rect"/>
                  </pic:spPr>
                </pic:pic>
              </a:graphicData>
            </a:graphic>
          </wp:inline>
        </w:drawing>
      </w:r>
    </w:p>
    <w:p>
      <w:pPr>
        <w:spacing w:after="200"/>
        <w:jc w:val="center"/>
      </w:pPr>
      <w:r>
        <w:rPr>
          <w:i/>
          <w:color w:val="475569"/>
          <w:sz w:val="16"/>
        </w:rPr>
        <w:t>Figure 4. Tier 3 data flows. The orange dashed flow happens only when the user turns Read Mode on.</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351"/>
        <w:gridCol w:w="4139"/>
        <w:gridCol w:w="5878"/>
      </w:tblGrid>
      <w:tr>
        <w:trPr>
          <w:cantSplit/>
          <w:tblHeader w:val="true"/>
        </w:trPr>
        <w:tc>
          <w:tcPr>
            <w:tcW w:type="dxa" w:w="351"/>
            <w:shd w:val="clear" w:color="auto" w:fill="1d4ed8"/>
          </w:tcPr>
          <w:p>
            <w:pPr>
              <w:spacing w:after="0"/>
            </w:pPr>
            <w:r>
              <w:rPr>
                <w:b/>
                <w:color w:val="FFFFFF"/>
                <w:sz w:val="18"/>
              </w:rPr>
              <w:t>#</w:t>
            </w:r>
          </w:p>
        </w:tc>
        <w:tc>
          <w:tcPr>
            <w:tcW w:type="dxa" w:w="4139"/>
            <w:shd w:val="clear" w:color="auto" w:fill="1d4ed8"/>
          </w:tcPr>
          <w:p>
            <w:pPr>
              <w:spacing w:after="0"/>
            </w:pPr>
            <w:r>
              <w:rPr>
                <w:b/>
                <w:color w:val="FFFFFF"/>
                <w:sz w:val="18"/>
              </w:rPr>
              <w:t>From and to</w:t>
            </w:r>
          </w:p>
        </w:tc>
        <w:tc>
          <w:tcPr>
            <w:tcW w:type="dxa" w:w="5878"/>
            <w:shd w:val="clear" w:color="auto" w:fill="1d4ed8"/>
          </w:tcPr>
          <w:p>
            <w:pPr>
              <w:spacing w:after="0"/>
            </w:pPr>
            <w:r>
              <w:rPr>
                <w:b/>
                <w:color w:val="FFFFFF"/>
                <w:sz w:val="18"/>
              </w:rPr>
              <w:t>What travels</w:t>
            </w:r>
          </w:p>
        </w:tc>
      </w:tr>
      <w:tr>
        <w:trPr>
          <w:cantSplit/>
        </w:trPr>
        <w:tc>
          <w:tcPr>
            <w:tcW w:type="dxa" w:w="351"/>
          </w:tcPr>
          <w:p>
            <w:pPr>
              <w:spacing w:after="0"/>
            </w:pPr>
            <w:r>
              <w:rPr>
                <w:sz w:val="18"/>
              </w:rPr>
              <w:t>1</w:t>
            </w:r>
          </w:p>
        </w:tc>
        <w:tc>
          <w:tcPr>
            <w:tcW w:type="dxa" w:w="4139"/>
          </w:tcPr>
          <w:p>
            <w:pPr>
              <w:spacing w:after="0"/>
            </w:pPr>
            <w:r>
              <w:rPr>
                <w:sz w:val="18"/>
              </w:rPr>
              <w:t>Browser to the relay (Firestore)</w:t>
            </w:r>
          </w:p>
        </w:tc>
        <w:tc>
          <w:tcPr>
            <w:tcW w:type="dxa" w:w="5878"/>
          </w:tcPr>
          <w:p>
            <w:pPr>
              <w:spacing w:after="0"/>
            </w:pPr>
            <w:r>
              <w:rPr>
                <w:sz w:val="18"/>
              </w:rPr>
              <w:t>A session record with a random identifier, consent and activity timestamps</w:t>
            </w:r>
          </w:p>
        </w:tc>
      </w:tr>
      <w:tr>
        <w:trPr>
          <w:cantSplit/>
        </w:trPr>
        <w:tc>
          <w:tcPr>
            <w:tcW w:type="dxa" w:w="351"/>
            <w:shd w:val="clear" w:color="auto" w:fill="f1f5f9"/>
          </w:tcPr>
          <w:p>
            <w:pPr>
              <w:spacing w:after="0"/>
            </w:pPr>
            <w:r>
              <w:rPr>
                <w:sz w:val="18"/>
              </w:rPr>
              <w:t>2</w:t>
            </w:r>
          </w:p>
        </w:tc>
        <w:tc>
          <w:tcPr>
            <w:tcW w:type="dxa" w:w="4139"/>
            <w:shd w:val="clear" w:color="auto" w:fill="f1f5f9"/>
          </w:tcPr>
          <w:p>
            <w:pPr>
              <w:spacing w:after="0"/>
            </w:pPr>
            <w:r>
              <w:rPr>
                <w:sz w:val="18"/>
              </w:rPr>
              <w:t>Browser and a Cloud Function</w:t>
            </w:r>
          </w:p>
        </w:tc>
        <w:tc>
          <w:tcPr>
            <w:tcW w:type="dxa" w:w="5878"/>
            <w:shd w:val="clear" w:color="auto" w:fill="f1f5f9"/>
          </w:tcPr>
          <w:p>
            <w:pPr>
              <w:spacing w:after="0"/>
            </w:pPr>
            <w:r>
              <w:rPr>
                <w:sz w:val="18"/>
              </w:rPr>
              <w:t>A pairing-code request (one word plus 10 digits, valid 15 minutes, single use); at the end, a teardown request</w:t>
            </w:r>
          </w:p>
        </w:tc>
      </w:tr>
      <w:tr>
        <w:trPr>
          <w:cantSplit/>
        </w:trPr>
        <w:tc>
          <w:tcPr>
            <w:tcW w:type="dxa" w:w="351"/>
          </w:tcPr>
          <w:p>
            <w:pPr>
              <w:spacing w:after="0"/>
            </w:pPr>
            <w:r>
              <w:rPr>
                <w:sz w:val="18"/>
              </w:rPr>
              <w:t>3</w:t>
            </w:r>
          </w:p>
        </w:tc>
        <w:tc>
          <w:tcPr>
            <w:tcW w:type="dxa" w:w="4139"/>
          </w:tcPr>
          <w:p>
            <w:pPr>
              <w:spacing w:after="0"/>
            </w:pPr>
            <w:r>
              <w:rPr>
                <w:sz w:val="18"/>
              </w:rPr>
              <w:t>User, from app to AI chat</w:t>
            </w:r>
          </w:p>
        </w:tc>
        <w:tc>
          <w:tcPr>
            <w:tcW w:type="dxa" w:w="5878"/>
          </w:tcPr>
          <w:p>
            <w:pPr>
              <w:spacing w:after="0"/>
            </w:pPr>
            <w:r>
              <w:rPr>
                <w:sz w:val="18"/>
              </w:rPr>
              <w:t>The pairing code, copied by hand</w:t>
            </w:r>
          </w:p>
        </w:tc>
      </w:tr>
      <w:tr>
        <w:trPr>
          <w:cantSplit/>
        </w:trPr>
        <w:tc>
          <w:tcPr>
            <w:tcW w:type="dxa" w:w="351"/>
            <w:shd w:val="clear" w:color="auto" w:fill="f1f5f9"/>
          </w:tcPr>
          <w:p>
            <w:pPr>
              <w:spacing w:after="0"/>
            </w:pPr>
            <w:r>
              <w:rPr>
                <w:sz w:val="18"/>
              </w:rPr>
              <w:t>4</w:t>
            </w:r>
          </w:p>
        </w:tc>
        <w:tc>
          <w:tcPr>
            <w:tcW w:type="dxa" w:w="4139"/>
            <w:shd w:val="clear" w:color="auto" w:fill="f1f5f9"/>
          </w:tcPr>
          <w:p>
            <w:pPr>
              <w:spacing w:after="0"/>
            </w:pPr>
            <w:r>
              <w:rPr>
                <w:sz w:val="18"/>
              </w:rPr>
              <w:t>AI chat and the AI provider</w:t>
            </w:r>
          </w:p>
        </w:tc>
        <w:tc>
          <w:tcPr>
            <w:tcW w:type="dxa" w:w="5878"/>
            <w:shd w:val="clear" w:color="auto" w:fill="f1f5f9"/>
          </w:tcPr>
          <w:p>
            <w:pPr>
              <w:spacing w:after="0"/>
            </w:pPr>
            <w:r>
              <w:rPr>
                <w:sz w:val="18"/>
              </w:rPr>
              <w:t>Everything the user types, and the replies. This happens whatever SPERT</w:t>
            </w:r>
            <w:r>
              <w:rPr>
                <w:sz w:val="18"/>
                <w:vertAlign w:val="superscript"/>
              </w:rPr>
              <w:t>®</w:t>
            </w:r>
            <w:r>
              <w:rPr>
                <w:sz w:val="18"/>
              </w:rPr>
              <w:t xml:space="preserve"> Suite's settings are</w:t>
            </w:r>
          </w:p>
        </w:tc>
      </w:tr>
      <w:tr>
        <w:trPr>
          <w:cantSplit/>
        </w:trPr>
        <w:tc>
          <w:tcPr>
            <w:tcW w:type="dxa" w:w="351"/>
          </w:tcPr>
          <w:p>
            <w:pPr>
              <w:spacing w:after="0"/>
            </w:pPr>
            <w:r>
              <w:rPr>
                <w:sz w:val="18"/>
              </w:rPr>
              <w:t>5</w:t>
            </w:r>
          </w:p>
        </w:tc>
        <w:tc>
          <w:tcPr>
            <w:tcW w:type="dxa" w:w="4139"/>
          </w:tcPr>
          <w:p>
            <w:pPr>
              <w:spacing w:after="0"/>
            </w:pPr>
            <w:r>
              <w:rPr>
                <w:sz w:val="18"/>
              </w:rPr>
              <w:t>AI provider's servers and the Connect AI server</w:t>
            </w:r>
          </w:p>
        </w:tc>
        <w:tc>
          <w:tcPr>
            <w:tcW w:type="dxa" w:w="5878"/>
          </w:tcPr>
          <w:p>
            <w:pPr>
              <w:spacing w:after="0"/>
            </w:pPr>
            <w:r>
              <w:rPr>
                <w:sz w:val="18"/>
              </w:rPr>
              <w:t xml:space="preserve">MCP tool calls over HTTPS to </w:t>
            </w:r>
            <w:r>
              <w:rPr>
                <w:rFonts w:ascii="Consolas" w:hAnsi="Consolas"/>
                <w:sz w:val="16"/>
              </w:rPr>
              <w:t>https://mcp.spertsuite.com</w:t>
            </w:r>
            <w:r>
              <w:rPr>
                <w:sz w:val="18"/>
              </w:rPr>
              <w:t xml:space="preserve"> (a Google Cloud Function in </w:t>
            </w:r>
            <w:r>
              <w:rPr>
                <w:rFonts w:ascii="Consolas" w:hAnsi="Consolas"/>
                <w:sz w:val="16"/>
              </w:rPr>
              <w:t>us-central1</w:t>
            </w:r>
            <w:r>
              <w:rPr>
                <w:sz w:val="18"/>
              </w:rPr>
              <w:t>), and tool results, including the snapshot in Read Mode</w:t>
            </w:r>
          </w:p>
        </w:tc>
      </w:tr>
      <w:tr>
        <w:trPr>
          <w:cantSplit/>
        </w:trPr>
        <w:tc>
          <w:tcPr>
            <w:tcW w:type="dxa" w:w="351"/>
            <w:shd w:val="clear" w:color="auto" w:fill="f1f5f9"/>
          </w:tcPr>
          <w:p>
            <w:pPr>
              <w:spacing w:after="0"/>
            </w:pPr>
            <w:r>
              <w:rPr>
                <w:sz w:val="18"/>
              </w:rPr>
              <w:t>6</w:t>
            </w:r>
          </w:p>
        </w:tc>
        <w:tc>
          <w:tcPr>
            <w:tcW w:type="dxa" w:w="4139"/>
            <w:shd w:val="clear" w:color="auto" w:fill="f1f5f9"/>
          </w:tcPr>
          <w:p>
            <w:pPr>
              <w:spacing w:after="0"/>
            </w:pPr>
            <w:r>
              <w:rPr>
                <w:sz w:val="18"/>
              </w:rPr>
              <w:t>Browser to the relay (Read Mode only)</w:t>
            </w:r>
          </w:p>
        </w:tc>
        <w:tc>
          <w:tcPr>
            <w:tcW w:type="dxa" w:w="5878"/>
            <w:shd w:val="clear" w:color="auto" w:fill="f1f5f9"/>
          </w:tcPr>
          <w:p>
            <w:pPr>
              <w:spacing w:after="0"/>
            </w:pPr>
            <w:r>
              <w:rPr>
                <w:sz w:val="18"/>
              </w:rPr>
              <w:t>A snapshot of the one open project, refreshed after edits, "regardless of your storage setting" (</w:t>
            </w:r>
            <w:hyperlink r:id="rId13">
              <w:r>
                <w:rPr>
                  <w:color w:val="1d4ed8"/>
                  <w:sz w:val="18"/>
                  <w:u w:val="single"/>
                </w:rPr>
                <w:t xml:space="preserve">AI Privacy Notice</w:t>
              </w:r>
            </w:hyperlink>
            <w:r>
              <w:rPr>
                <w:sz w:val="18"/>
              </w:rPr>
              <w:t xml:space="preserve"> §2.2)</w:t>
            </w:r>
          </w:p>
        </w:tc>
      </w:tr>
      <w:tr>
        <w:trPr>
          <w:cantSplit/>
        </w:trPr>
        <w:tc>
          <w:tcPr>
            <w:tcW w:type="dxa" w:w="351"/>
          </w:tcPr>
          <w:p>
            <w:pPr>
              <w:spacing w:after="0"/>
            </w:pPr>
            <w:r>
              <w:rPr>
                <w:sz w:val="18"/>
              </w:rPr>
              <w:t>7</w:t>
            </w:r>
          </w:p>
        </w:tc>
        <w:tc>
          <w:tcPr>
            <w:tcW w:type="dxa" w:w="4139"/>
          </w:tcPr>
          <w:p>
            <w:pPr>
              <w:spacing w:after="0"/>
            </w:pPr>
            <w:r>
              <w:rPr>
                <w:sz w:val="18"/>
              </w:rPr>
              <w:t>Connect AI server and the relay</w:t>
            </w:r>
          </w:p>
        </w:tc>
        <w:tc>
          <w:tcPr>
            <w:tcW w:type="dxa" w:w="5878"/>
          </w:tcPr>
          <w:p>
            <w:pPr>
              <w:spacing w:after="0"/>
            </w:pPr>
            <w:r>
              <w:rPr>
                <w:sz w:val="18"/>
              </w:rPr>
              <w:t>The server reads the snapshot (Read Mode) and writes the AI's edits (Write Mode)</w:t>
            </w:r>
          </w:p>
        </w:tc>
      </w:tr>
      <w:tr>
        <w:trPr>
          <w:cantSplit/>
        </w:trPr>
        <w:tc>
          <w:tcPr>
            <w:tcW w:type="dxa" w:w="351"/>
            <w:shd w:val="clear" w:color="auto" w:fill="f1f5f9"/>
          </w:tcPr>
          <w:p>
            <w:pPr>
              <w:spacing w:after="0"/>
            </w:pPr>
            <w:r>
              <w:rPr>
                <w:sz w:val="18"/>
              </w:rPr>
              <w:t>8</w:t>
            </w:r>
          </w:p>
        </w:tc>
        <w:tc>
          <w:tcPr>
            <w:tcW w:type="dxa" w:w="4139"/>
            <w:shd w:val="clear" w:color="auto" w:fill="f1f5f9"/>
          </w:tcPr>
          <w:p>
            <w:pPr>
              <w:spacing w:after="0"/>
            </w:pPr>
            <w:r>
              <w:rPr>
                <w:sz w:val="18"/>
              </w:rPr>
              <w:t>Relay to browser</w:t>
            </w:r>
          </w:p>
        </w:tc>
        <w:tc>
          <w:tcPr>
            <w:tcW w:type="dxa" w:w="5878"/>
            <w:shd w:val="clear" w:color="auto" w:fill="f1f5f9"/>
          </w:tcPr>
          <w:p>
            <w:pPr>
              <w:spacing w:after="0"/>
            </w:pPr>
            <w:r>
              <w:rPr>
                <w:sz w:val="18"/>
              </w:rPr>
              <w:t>The AI's edits, applied to the open project</w:t>
            </w:r>
          </w:p>
        </w:tc>
      </w:tr>
    </w:tbl>
    <w:p>
      <w:pPr>
        <w:spacing w:after="40"/>
      </w:pPr>
    </w:p>
    <w:p>
      <w:pPr>
        <w:pStyle w:val="Heading3"/>
      </w:pPr>
      <w:r>
        <w:rPr/>
        <w:t>What a Read Mode snapshot contains</w:t>
      </w:r>
    </w:p>
    <w:p>
      <w:r>
        <w:rPr/>
        <w:t>Each app builds its snapshot field by field from the open project. None includes other projects, the owner, members, sharing settings or email addresses.</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1646"/>
        <w:gridCol w:w="4403"/>
        <w:gridCol w:w="4319"/>
      </w:tblGrid>
      <w:tr>
        <w:trPr>
          <w:cantSplit/>
          <w:tblHeader w:val="true"/>
        </w:trPr>
        <w:tc>
          <w:tcPr>
            <w:tcW w:type="dxa" w:w="1646"/>
            <w:shd w:val="clear" w:color="auto" w:fill="1d4ed8"/>
          </w:tcPr>
          <w:p>
            <w:pPr>
              <w:spacing w:after="0"/>
            </w:pPr>
            <w:r>
              <w:rPr>
                <w:b/>
                <w:color w:val="FFFFFF"/>
                <w:sz w:val="18"/>
              </w:rPr>
              <w:t>App</w:t>
            </w:r>
          </w:p>
        </w:tc>
        <w:tc>
          <w:tcPr>
            <w:tcW w:type="dxa" w:w="4403"/>
            <w:shd w:val="clear" w:color="auto" w:fill="1d4ed8"/>
          </w:tcPr>
          <w:p>
            <w:pPr>
              <w:spacing w:after="0"/>
            </w:pPr>
            <w:r>
              <w:rPr>
                <w:b/>
                <w:color w:val="FFFFFF"/>
                <w:sz w:val="18"/>
              </w:rPr>
              <w:t>Included</w:t>
            </w:r>
          </w:p>
        </w:tc>
        <w:tc>
          <w:tcPr>
            <w:tcW w:type="dxa" w:w="4319"/>
            <w:shd w:val="clear" w:color="auto" w:fill="1d4ed8"/>
          </w:tcPr>
          <w:p>
            <w:pPr>
              <w:spacing w:after="0"/>
            </w:pPr>
            <w:r>
              <w:rPr>
                <w:b/>
                <w:color w:val="FFFFFF"/>
                <w:sz w:val="18"/>
              </w:rPr>
              <w:t>Notes</w:t>
            </w:r>
          </w:p>
        </w:tc>
      </w:tr>
      <w:tr>
        <w:trPr>
          <w:cantSplit/>
        </w:trPr>
        <w:tc>
          <w:tcPr>
            <w:tcW w:type="dxa" w:w="1646"/>
          </w:tcPr>
          <w:p>
            <w:pPr>
              <w:spacing w:after="0"/>
            </w:pPr>
            <w:r>
              <w:rPr>
                <w:sz w:val="18"/>
              </w:rPr>
              <w:t>SPERT</w:t>
            </w:r>
            <w:r>
              <w:rPr>
                <w:sz w:val="18"/>
                <w:vertAlign w:val="superscript"/>
              </w:rPr>
              <w:t>®</w:t>
            </w:r>
            <w:r>
              <w:rPr>
                <w:sz w:val="18"/>
              </w:rPr>
              <w:t xml:space="preserve"> Scheduler</w:t>
            </w:r>
          </w:p>
        </w:tc>
        <w:tc>
          <w:tcPr>
            <w:tcW w:type="dxa" w:w="4403"/>
          </w:tcPr>
          <w:p>
            <w:pPr>
              <w:spacing w:after="0"/>
            </w:pPr>
            <w:r>
              <w:rPr>
                <w:sz w:val="18"/>
              </w:rPr>
              <w:t xml:space="preserve">Project name and id; every scenario; activity names, three-point estimates, status, computed dates and critical-path flags; milestones; dependencies; </w:t>
            </w:r>
            <w:r>
              <w:rPr>
                <w:b/>
                <w:sz w:val="18"/>
              </w:rPr>
              <w:t>free text:</w:t>
            </w:r>
            <w:r>
              <w:rPr>
                <w:sz w:val="18"/>
              </w:rPr>
              <w:t xml:space="preserve"> activity notes, descriptions, checklist and deliverable items</w:t>
            </w:r>
          </w:p>
        </w:tc>
        <w:tc>
          <w:tcPr>
            <w:tcW w:type="dxa" w:w="4319"/>
          </w:tcPr>
          <w:p>
            <w:pPr>
              <w:spacing w:after="0"/>
            </w:pPr>
            <w:r>
              <w:rPr>
                <w:sz w:val="18"/>
              </w:rPr>
              <w:t>Calendars and holiday data excluded. Free text is dropped first if the snapshot would exceed about 700 KB</w:t>
            </w:r>
          </w:p>
        </w:tc>
      </w:tr>
      <w:tr>
        <w:trPr>
          <w:cantSplit/>
        </w:trPr>
        <w:tc>
          <w:tcPr>
            <w:tcW w:type="dxa" w:w="1646"/>
            <w:shd w:val="clear" w:color="auto" w:fill="f1f5f9"/>
          </w:tcPr>
          <w:p>
            <w:pPr>
              <w:spacing w:after="0"/>
            </w:pPr>
            <w:r>
              <w:rPr>
                <w:sz w:val="18"/>
              </w:rPr>
              <w:t>SPERT</w:t>
            </w:r>
            <w:r>
              <w:rPr>
                <w:sz w:val="18"/>
                <w:vertAlign w:val="superscript"/>
              </w:rPr>
              <w:t>®</w:t>
            </w:r>
            <w:r>
              <w:rPr>
                <w:sz w:val="18"/>
              </w:rPr>
              <w:t xml:space="preserve"> Story Map</w:t>
            </w:r>
          </w:p>
        </w:tc>
        <w:tc>
          <w:tcPr>
            <w:tcW w:type="dxa" w:w="4403"/>
            <w:shd w:val="clear" w:color="auto" w:fill="f1f5f9"/>
          </w:tcPr>
          <w:p>
            <w:pPr>
              <w:spacing w:after="0"/>
            </w:pPr>
            <w:r>
              <w:rPr>
                <w:sz w:val="18"/>
              </w:rPr>
              <w:t xml:space="preserve">Project name, id and description; the size scale; releases (name and order only); themes, backbones and ribs with names, categories, sizes and release allocations; </w:t>
            </w:r>
            <w:r>
              <w:rPr>
                <w:b/>
                <w:sz w:val="18"/>
              </w:rPr>
              <w:t>free text:</w:t>
            </w:r>
            <w:r>
              <w:rPr>
                <w:sz w:val="18"/>
              </w:rPr>
              <w:t xml:space="preserve"> rib descriptions and notes</w:t>
            </w:r>
          </w:p>
        </w:tc>
        <w:tc>
          <w:tcPr>
            <w:tcW w:type="dxa" w:w="4319"/>
            <w:shd w:val="clear" w:color="auto" w:fill="f1f5f9"/>
          </w:tcPr>
          <w:p>
            <w:pPr>
              <w:spacing w:after="0"/>
            </w:pPr>
            <w:r>
              <w:rPr>
                <w:sz w:val="18"/>
              </w:rPr>
              <w:t>Release target dates excluded; recorded sprint progress appears only as a "locked" flag. Notes are dropped first if the snapshot would exceed about 900 KB</w:t>
            </w:r>
          </w:p>
        </w:tc>
      </w:tr>
      <w:tr>
        <w:trPr>
          <w:cantSplit/>
        </w:trPr>
        <w:tc>
          <w:tcPr>
            <w:tcW w:type="dxa" w:w="1646"/>
          </w:tcPr>
          <w:p>
            <w:pPr>
              <w:spacing w:after="0"/>
            </w:pPr>
            <w:r>
              <w:rPr>
                <w:sz w:val="18"/>
              </w:rPr>
              <w:t>SPERT</w:t>
            </w:r>
            <w:r>
              <w:rPr>
                <w:sz w:val="18"/>
                <w:vertAlign w:val="superscript"/>
              </w:rPr>
              <w:t>®</w:t>
            </w:r>
            <w:r>
              <w:rPr>
                <w:sz w:val="18"/>
              </w:rPr>
              <w:t xml:space="preserve"> Forecaster</w:t>
            </w:r>
          </w:p>
        </w:tc>
        <w:tc>
          <w:tcPr>
            <w:tcW w:type="dxa" w:w="4403"/>
          </w:tcPr>
          <w:p>
            <w:pPr>
              <w:spacing w:after="0"/>
            </w:pPr>
            <w:r>
              <w:rPr>
                <w:sz w:val="18"/>
              </w:rPr>
              <w:t xml:space="preserve">Project name, unit of measure, sprint cadence and dates; up to the 60 most recent sprints (dates, completed amount, backlog); velocity and scope-change statistics; milestones (name, size, status); productivity adjustments with a </w:t>
            </w:r>
            <w:r>
              <w:rPr>
                <w:b/>
                <w:sz w:val="18"/>
              </w:rPr>
              <w:t>free-text</w:t>
            </w:r>
            <w:r>
              <w:rPr>
                <w:sz w:val="18"/>
              </w:rPr>
              <w:t xml:space="preserve"> reason; forecast settings and percentile results</w:t>
            </w:r>
          </w:p>
        </w:tc>
        <w:tc>
          <w:tcPr>
            <w:tcW w:type="dxa" w:w="4319"/>
          </w:tcPr>
          <w:p>
            <w:pPr>
              <w:spacing w:after="0"/>
            </w:pPr>
            <w:r>
              <w:rPr>
                <w:sz w:val="18"/>
              </w:rPr>
              <w:t>Raw simulation trials and charts excluded. Text fields are capped (names 200 characters, reasons 500)</w:t>
            </w:r>
          </w:p>
        </w:tc>
      </w:tr>
    </w:tbl>
    <w:p>
      <w:pPr>
        <w:spacing w:after="40"/>
      </w:pPr>
    </w:p>
    <w:p>
      <w:r>
        <w:rPr/>
        <w:t>Sources: each app's snapshot builder at the versions above (</w:t>
      </w:r>
      <w:r>
        <w:rPr>
          <w:rFonts w:ascii="Consolas" w:hAnsi="Consolas"/>
          <w:sz w:val="18"/>
        </w:rPr>
        <w:t>src/app/api/ai-snapshot-service.ts</w:t>
      </w:r>
      <w:r>
        <w:rPr/>
        <w:t xml:space="preserve"> in SPERT</w:t>
      </w:r>
      <w:r>
        <w:rPr>
          <w:vertAlign w:val="superscript"/>
        </w:rPr>
        <w:t>®</w:t>
      </w:r>
      <w:r>
        <w:rPr/>
        <w:t xml:space="preserve"> Scheduler, </w:t>
      </w:r>
      <w:r>
        <w:rPr>
          <w:rFonts w:ascii="Consolas" w:hAnsi="Consolas"/>
          <w:sz w:val="18"/>
        </w:rPr>
        <w:t>src/lib/aiSnapshot.ts</w:t>
      </w:r>
      <w:r>
        <w:rPr/>
        <w:t xml:space="preserve"> in SPERT</w:t>
      </w:r>
      <w:r>
        <w:rPr>
          <w:vertAlign w:val="superscript"/>
        </w:rPr>
        <w:t>®</w:t>
      </w:r>
      <w:r>
        <w:rPr/>
        <w:t xml:space="preserve"> Story Map, </w:t>
      </w:r>
      <w:r>
        <w:rPr>
          <w:rFonts w:ascii="Consolas" w:hAnsi="Consolas"/>
          <w:sz w:val="18"/>
        </w:rPr>
        <w:t>src/features/connect-ai/lib/build-snapshot.ts</w:t>
      </w:r>
      <w:r>
        <w:rPr/>
        <w:t xml:space="preserve"> in SPERT</w:t>
      </w:r>
      <w:r>
        <w:rPr>
          <w:vertAlign w:val="superscript"/>
        </w:rPr>
        <w:t>®</w:t>
      </w:r>
      <w:r>
        <w:rPr/>
        <w:t xml:space="preserve"> Forecaster).</w:t>
      </w:r>
    </w:p>
    <w:p>
      <w:pPr>
        <w:pStyle w:val="Heading3"/>
      </w:pPr>
      <w:r>
        <w:rPr/>
        <w:t>Retention</w:t>
      </w:r>
    </w:p>
    <w:p>
      <w:r>
        <w:rPr/>
        <w:t>The relay copy is deleted when the user disconnects or turns Read Mode off, or seven days after the session's last activity, including requests from the AI assistant; backups may keep copies up to 98 days (</w:t>
      </w:r>
      <w:hyperlink r:id="rId13">
        <w:r>
          <w:rPr>
            <w:color w:val="1d4ed8"/>
            <w:u w:val="single"/>
          </w:rPr>
          <w:t xml:space="preserve">AI Privacy Notice</w:t>
        </w:r>
      </w:hyperlink>
      <w:r>
        <w:rPr/>
        <w:t xml:space="preserve"> §2.2, §4). Signing out ends the session on the server in all three apps (since SPERT</w:t>
      </w:r>
      <w:r>
        <w:rPr>
          <w:vertAlign w:val="superscript"/>
        </w:rPr>
        <w:t>®</w:t>
      </w:r>
      <w:r>
        <w:rPr/>
        <w:t xml:space="preserve"> Scheduler 0.79.25, SPERT</w:t>
      </w:r>
      <w:r>
        <w:rPr>
          <w:vertAlign w:val="superscript"/>
        </w:rPr>
        <w:t>®</w:t>
      </w:r>
      <w:r>
        <w:rPr/>
        <w:t xml:space="preserve"> Story Map 0.53.13 and SPERT</w:t>
      </w:r>
      <w:r>
        <w:rPr>
          <w:vertAlign w:val="superscript"/>
        </w:rPr>
        <w:t>®</w:t>
      </w:r>
      <w:r>
        <w:rPr/>
        <w:t xml:space="preserve"> Forecaster 0.47.3); if the server cannot be reached at that moment, for example when offline, the app tells the user and keeps retrying. Disconnecting also ends the session on the server, but if the server cannot be reached, SPERT</w:t>
      </w:r>
      <w:r>
        <w:rPr>
          <w:vertAlign w:val="superscript"/>
        </w:rPr>
        <w:t>®</w:t>
      </w:r>
      <w:r>
        <w:rPr/>
        <w:t xml:space="preserve"> Scheduler and SPERT</w:t>
      </w:r>
      <w:r>
        <w:rPr>
          <w:vertAlign w:val="superscript"/>
        </w:rPr>
        <w:t>®</w:t>
      </w:r>
      <w:r>
        <w:rPr/>
        <w:t xml:space="preserve"> Story Map do not tell the user. Until a later attempt succeeds, the relay data stays until the session expires seven days after the session's last activity, including requests from the AI assistant; because each AI request extends the session, one that an AI keeps using does not expire. In SPERT</w:t>
      </w:r>
      <w:r>
        <w:rPr>
          <w:vertAlign w:val="superscript"/>
        </w:rPr>
        <w:t>®</w:t>
      </w:r>
      <w:r>
        <w:rPr/>
        <w:t xml:space="preserve"> Scheduler a session is bound to the project it was opened for; in SPERT</w:t>
      </w:r>
      <w:r>
        <w:rPr>
          <w:vertAlign w:val="superscript"/>
        </w:rPr>
        <w:t>®</w:t>
      </w:r>
      <w:r>
        <w:rPr/>
        <w:t xml:space="preserve"> Story Map it follows the user to whichever project is open, and the snapshot is replaced (</w:t>
      </w:r>
      <w:hyperlink r:id="rId13">
        <w:r>
          <w:rPr>
            <w:color w:val="1d4ed8"/>
            <w:u w:val="single"/>
          </w:rPr>
          <w:t xml:space="preserve">AI Privacy Notice</w:t>
        </w:r>
      </w:hyperlink>
      <w:r>
        <w:rPr/>
        <w:t xml:space="preserve"> §2.2), so users should disconnect before opening a project the AI should not see or change. The AI provider's own terms govern anything it received (</w:t>
      </w:r>
      <w:hyperlink r:id="rId12">
        <w:r>
          <w:rPr>
            <w:color w:val="1d4ed8"/>
            <w:u w:val="single"/>
          </w:rPr>
          <w:t xml:space="preserve">Privacy Policy</w:t>
        </w:r>
      </w:hyperlink>
      <w:r>
        <w:rPr/>
        <w:t xml:space="preserve"> §4.5).</w:t>
      </w:r>
    </w:p>
    <w:p>
      <w:pPr>
        <w:pStyle w:val="Heading3"/>
      </w:pPr>
      <w:r>
        <w:rPr/>
        <w:t>What the AI can change</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1538"/>
        <w:gridCol w:w="1352"/>
        <w:gridCol w:w="3739"/>
        <w:gridCol w:w="3739"/>
      </w:tblGrid>
      <w:tr>
        <w:trPr>
          <w:cantSplit/>
          <w:tblHeader w:val="true"/>
        </w:trPr>
        <w:tc>
          <w:tcPr>
            <w:tcW w:type="dxa" w:w="1538"/>
            <w:shd w:val="clear" w:color="auto" w:fill="1d4ed8"/>
          </w:tcPr>
          <w:p>
            <w:pPr>
              <w:spacing w:after="0"/>
            </w:pPr>
            <w:r>
              <w:rPr>
                <w:b/>
                <w:color w:val="FFFFFF"/>
                <w:sz w:val="18"/>
              </w:rPr>
              <w:t>App</w:t>
            </w:r>
          </w:p>
        </w:tc>
        <w:tc>
          <w:tcPr>
            <w:tcW w:type="dxa" w:w="1352"/>
            <w:shd w:val="clear" w:color="auto" w:fill="1d4ed8"/>
          </w:tcPr>
          <w:p>
            <w:pPr>
              <w:spacing w:after="0"/>
            </w:pPr>
            <w:r>
              <w:rPr>
                <w:b/>
                <w:color w:val="FFFFFF"/>
                <w:sz w:val="18"/>
              </w:rPr>
              <w:t>Tools</w:t>
            </w:r>
          </w:p>
        </w:tc>
        <w:tc>
          <w:tcPr>
            <w:tcW w:type="dxa" w:w="3739"/>
            <w:shd w:val="clear" w:color="auto" w:fill="1d4ed8"/>
          </w:tcPr>
          <w:p>
            <w:pPr>
              <w:spacing w:after="0"/>
            </w:pPr>
            <w:r>
              <w:rPr>
                <w:b/>
                <w:color w:val="FFFFFF"/>
                <w:sz w:val="18"/>
              </w:rPr>
              <w:t>Can overwrite existing content</w:t>
            </w:r>
          </w:p>
        </w:tc>
        <w:tc>
          <w:tcPr>
            <w:tcW w:type="dxa" w:w="3739"/>
            <w:shd w:val="clear" w:color="auto" w:fill="1d4ed8"/>
          </w:tcPr>
          <w:p>
            <w:pPr>
              <w:spacing w:after="0"/>
            </w:pPr>
            <w:r>
              <w:rPr>
                <w:b/>
                <w:color w:val="FFFFFF"/>
                <w:sz w:val="18"/>
              </w:rPr>
              <w:t>Can delete</w:t>
            </w:r>
          </w:p>
        </w:tc>
      </w:tr>
      <w:tr>
        <w:trPr>
          <w:cantSplit/>
        </w:trPr>
        <w:tc>
          <w:tcPr>
            <w:tcW w:type="dxa" w:w="1538"/>
          </w:tcPr>
          <w:p>
            <w:pPr>
              <w:spacing w:after="0"/>
            </w:pPr>
            <w:r>
              <w:rPr>
                <w:sz w:val="18"/>
              </w:rPr>
              <w:t>SPERT</w:t>
            </w:r>
            <w:r>
              <w:rPr>
                <w:sz w:val="18"/>
                <w:vertAlign w:val="superscript"/>
              </w:rPr>
              <w:t>®</w:t>
            </w:r>
            <w:r>
              <w:rPr>
                <w:sz w:val="18"/>
              </w:rPr>
              <w:t xml:space="preserve"> Scheduler</w:t>
            </w:r>
          </w:p>
        </w:tc>
        <w:tc>
          <w:tcPr>
            <w:tcW w:type="dxa" w:w="1352"/>
          </w:tcPr>
          <w:p>
            <w:pPr>
              <w:spacing w:after="0"/>
            </w:pPr>
            <w:r>
              <w:rPr>
                <w:sz w:val="18"/>
              </w:rPr>
              <w:t>25 (1 read, 24 write)</w:t>
            </w:r>
          </w:p>
        </w:tc>
        <w:tc>
          <w:tcPr>
            <w:tcW w:type="dxa" w:w="3739"/>
          </w:tcPr>
          <w:p>
            <w:pPr>
              <w:spacing w:after="0"/>
            </w:pPr>
            <w:r>
              <w:rPr>
                <w:sz w:val="18"/>
              </w:rPr>
              <w:t>Yes: names, estimates, descriptions (an empty value clears one), milestones, dependency settings, checklist state, activity order</w:t>
            </w:r>
          </w:p>
        </w:tc>
        <w:tc>
          <w:tcPr>
            <w:tcW w:type="dxa" w:w="3739"/>
          </w:tcPr>
          <w:p>
            <w:pPr>
              <w:spacing w:after="0"/>
            </w:pPr>
            <w:r>
              <w:rPr>
                <w:sz w:val="18"/>
              </w:rPr>
              <w:t>Dependency links only; can also unassign a milestone. No tool deletes an activity, milestone, scenario or project</w:t>
            </w:r>
          </w:p>
        </w:tc>
      </w:tr>
      <w:tr>
        <w:trPr>
          <w:cantSplit/>
        </w:trPr>
        <w:tc>
          <w:tcPr>
            <w:tcW w:type="dxa" w:w="1538"/>
            <w:shd w:val="clear" w:color="auto" w:fill="f1f5f9"/>
          </w:tcPr>
          <w:p>
            <w:pPr>
              <w:spacing w:after="0"/>
            </w:pPr>
            <w:r>
              <w:rPr>
                <w:sz w:val="18"/>
              </w:rPr>
              <w:t>SPERT</w:t>
            </w:r>
            <w:r>
              <w:rPr>
                <w:sz w:val="18"/>
                <w:vertAlign w:val="superscript"/>
              </w:rPr>
              <w:t>®</w:t>
            </w:r>
            <w:r>
              <w:rPr>
                <w:sz w:val="18"/>
              </w:rPr>
              <w:t xml:space="preserve"> Story Map</w:t>
            </w:r>
          </w:p>
        </w:tc>
        <w:tc>
          <w:tcPr>
            <w:tcW w:type="dxa" w:w="1352"/>
            <w:shd w:val="clear" w:color="auto" w:fill="f1f5f9"/>
          </w:tcPr>
          <w:p>
            <w:pPr>
              <w:spacing w:after="0"/>
            </w:pPr>
            <w:r>
              <w:rPr>
                <w:sz w:val="18"/>
              </w:rPr>
              <w:t>21 (1 read, 20 write)</w:t>
            </w:r>
          </w:p>
        </w:tc>
        <w:tc>
          <w:tcPr>
            <w:tcW w:type="dxa" w:w="3739"/>
            <w:shd w:val="clear" w:color="auto" w:fill="f1f5f9"/>
          </w:tcPr>
          <w:p>
            <w:pPr>
              <w:spacing w:after="0"/>
            </w:pPr>
            <w:r>
              <w:rPr>
                <w:sz w:val="18"/>
              </w:rPr>
              <w:t>Yes: names, descriptions, categories, notes (an empty value clears one), sizes, release allocations, location in the map</w:t>
            </w:r>
          </w:p>
        </w:tc>
        <w:tc>
          <w:tcPr>
            <w:tcW w:type="dxa" w:w="3739"/>
            <w:shd w:val="clear" w:color="auto" w:fill="f1f5f9"/>
          </w:tcPr>
          <w:p>
            <w:pPr>
              <w:spacing w:after="0"/>
            </w:pPr>
            <w:r>
              <w:rPr>
                <w:sz w:val="18"/>
              </w:rPr>
              <w:t>No entity deletes; tools can remove release allocations</w:t>
            </w:r>
          </w:p>
        </w:tc>
      </w:tr>
      <w:tr>
        <w:trPr>
          <w:cantSplit/>
        </w:trPr>
        <w:tc>
          <w:tcPr>
            <w:tcW w:type="dxa" w:w="1538"/>
          </w:tcPr>
          <w:p>
            <w:pPr>
              <w:spacing w:after="0"/>
            </w:pPr>
            <w:r>
              <w:rPr>
                <w:sz w:val="18"/>
              </w:rPr>
              <w:t>SPERT</w:t>
            </w:r>
            <w:r>
              <w:rPr>
                <w:sz w:val="18"/>
                <w:vertAlign w:val="superscript"/>
              </w:rPr>
              <w:t>®</w:t>
            </w:r>
            <w:r>
              <w:rPr>
                <w:sz w:val="18"/>
              </w:rPr>
              <w:t xml:space="preserve"> Forecaster</w:t>
            </w:r>
          </w:p>
        </w:tc>
        <w:tc>
          <w:tcPr>
            <w:tcW w:type="dxa" w:w="1352"/>
          </w:tcPr>
          <w:p>
            <w:pPr>
              <w:spacing w:after="0"/>
            </w:pPr>
            <w:r>
              <w:rPr>
                <w:sz w:val="18"/>
              </w:rPr>
              <w:t>3 (all read)</w:t>
            </w:r>
          </w:p>
        </w:tc>
        <w:tc>
          <w:tcPr>
            <w:tcW w:type="dxa" w:w="3739"/>
          </w:tcPr>
          <w:p>
            <w:pPr>
              <w:spacing w:after="0"/>
            </w:pPr>
            <w:r>
              <w:rPr>
                <w:sz w:val="18"/>
              </w:rPr>
              <w:t>No</w:t>
            </w:r>
          </w:p>
        </w:tc>
        <w:tc>
          <w:tcPr>
            <w:tcW w:type="dxa" w:w="3739"/>
          </w:tcPr>
          <w:p>
            <w:pPr>
              <w:spacing w:after="0"/>
            </w:pPr>
            <w:r>
              <w:rPr>
                <w:sz w:val="18"/>
              </w:rPr>
              <w:t>No</w:t>
            </w:r>
          </w:p>
        </w:tc>
      </w:tr>
    </w:tbl>
    <w:p>
      <w:pPr>
        <w:spacing w:after="40"/>
      </w:pPr>
    </w:p>
    <w:p>
      <w:r>
        <w:rPr/>
        <w:t>Each session is bound to one app, and the server refuses tool calls meant for another app. Browsers cannot write AI edits into the relay or read a snapshot back out of it (Firestore rules). The full tool list is in the appendix.</w:t>
      </w:r>
    </w:p>
    <w:p>
      <w:pPr>
        <w:pStyle w:val="Heading2"/>
      </w:pPr>
      <w:r>
        <w:rPr/>
        <w:t>6. The organization's side</w:t>
      </w:r>
    </w:p>
    <w:p>
      <w:r>
        <w:rPr/>
        <w:t xml:space="preserve">Fill this in with your service desk or </w:t>
      </w:r>
      <w:r>
        <w:rPr>
          <w:highlight w:val="yellow"/>
        </w:rPr>
        <w:t>[REVIEWING TEAM]</w:t>
      </w:r>
      <w:r>
        <w:rPr/>
        <w:t xml:space="preserve">. It records the controls </w:t>
      </w:r>
      <w:r>
        <w:rPr>
          <w:highlight w:val="yellow"/>
        </w:rPr>
        <w:t>[ORGANIZATION]</w:t>
      </w:r>
      <w:r>
        <w:rPr/>
        <w:t xml:space="preserve"> already has around the flows above.</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943"/>
        <w:gridCol w:w="7425"/>
      </w:tblGrid>
      <w:tr>
        <w:trPr>
          <w:cantSplit/>
          <w:tblHeader w:val="true"/>
        </w:trPr>
        <w:tc>
          <w:tcPr>
            <w:tcW w:type="dxa" w:w="2943"/>
            <w:shd w:val="clear" w:color="auto" w:fill="1d4ed8"/>
          </w:tcPr>
          <w:p>
            <w:pPr>
              <w:spacing w:after="0"/>
            </w:pPr>
            <w:r>
              <w:rPr>
                <w:b/>
                <w:color w:val="FFFFFF"/>
                <w:sz w:val="18"/>
              </w:rPr>
              <w:t>Element</w:t>
            </w:r>
          </w:p>
        </w:tc>
        <w:tc>
          <w:tcPr>
            <w:tcW w:type="dxa" w:w="7425"/>
            <w:shd w:val="clear" w:color="auto" w:fill="1d4ed8"/>
          </w:tcPr>
          <w:p>
            <w:pPr>
              <w:spacing w:after="0"/>
            </w:pPr>
            <w:r>
              <w:rPr>
                <w:b/>
                <w:color w:val="FFFFFF"/>
                <w:sz w:val="18"/>
              </w:rPr>
              <w:t>The organization's arrangement</w:t>
            </w:r>
          </w:p>
        </w:tc>
      </w:tr>
      <w:tr>
        <w:trPr>
          <w:cantSplit/>
        </w:trPr>
        <w:tc>
          <w:tcPr>
            <w:tcW w:type="dxa" w:w="2943"/>
          </w:tcPr>
          <w:p>
            <w:pPr>
              <w:spacing w:after="0"/>
            </w:pPr>
            <w:r>
              <w:rPr>
                <w:sz w:val="18"/>
              </w:rPr>
              <w:t>User devices</w:t>
            </w:r>
          </w:p>
        </w:tc>
        <w:tc>
          <w:tcPr>
            <w:tcW w:type="dxa" w:w="7425"/>
          </w:tcPr>
          <w:p>
            <w:pPr>
              <w:spacing w:after="0"/>
            </w:pPr>
            <w:r>
              <w:rPr>
                <w:sz w:val="18"/>
                <w:highlight w:val="yellow"/>
              </w:rPr>
              <w:t>[MANAGED / UNMANAGED]</w:t>
            </w:r>
            <w:r>
              <w:rPr>
                <w:sz w:val="18"/>
              </w:rPr>
              <w:t xml:space="preserve">, </w:t>
            </w:r>
            <w:r>
              <w:rPr>
                <w:sz w:val="18"/>
                <w:highlight w:val="yellow"/>
              </w:rPr>
              <w:t>[DISK ENCRYPTION]</w:t>
            </w:r>
            <w:r>
              <w:rPr>
                <w:sz w:val="18"/>
              </w:rPr>
              <w:t xml:space="preserve">, </w:t>
            </w:r>
            <w:r>
              <w:rPr>
                <w:sz w:val="18"/>
                <w:highlight w:val="yellow"/>
              </w:rPr>
              <w:t>[WHO MAY USE THEM]</w:t>
            </w:r>
          </w:p>
        </w:tc>
      </w:tr>
      <w:tr>
        <w:trPr>
          <w:cantSplit/>
        </w:trPr>
        <w:tc>
          <w:tcPr>
            <w:tcW w:type="dxa" w:w="2943"/>
            <w:shd w:val="clear" w:color="auto" w:fill="f1f5f9"/>
          </w:tcPr>
          <w:p>
            <w:pPr>
              <w:spacing w:after="0"/>
            </w:pPr>
            <w:r>
              <w:rPr>
                <w:sz w:val="18"/>
              </w:rPr>
              <w:t>Browsers and profiles</w:t>
            </w:r>
          </w:p>
        </w:tc>
        <w:tc>
          <w:tcPr>
            <w:tcW w:type="dxa" w:w="7425"/>
            <w:shd w:val="clear" w:color="auto" w:fill="f1f5f9"/>
          </w:tcPr>
          <w:p>
            <w:pPr>
              <w:spacing w:after="0"/>
            </w:pPr>
            <w:r>
              <w:rPr>
                <w:sz w:val="18"/>
                <w:highlight w:val="yellow"/>
              </w:rPr>
              <w:t>[APPROVED BROWSERS]</w:t>
            </w:r>
            <w:r>
              <w:rPr>
                <w:sz w:val="18"/>
              </w:rPr>
              <w:t xml:space="preserve">, </w:t>
            </w:r>
            <w:r>
              <w:rPr>
                <w:sz w:val="18"/>
                <w:highlight w:val="yellow"/>
              </w:rPr>
              <w:t>[ONE PROFILE PER PERSON, YES / NO]</w:t>
            </w:r>
          </w:p>
        </w:tc>
      </w:tr>
      <w:tr>
        <w:trPr>
          <w:cantSplit/>
        </w:trPr>
        <w:tc>
          <w:tcPr>
            <w:tcW w:type="dxa" w:w="2943"/>
          </w:tcPr>
          <w:p>
            <w:pPr>
              <w:spacing w:after="0"/>
            </w:pPr>
            <w:r>
              <w:rPr>
                <w:sz w:val="18"/>
              </w:rPr>
              <w:t>Network and web filtering</w:t>
            </w:r>
          </w:p>
        </w:tc>
        <w:tc>
          <w:tcPr>
            <w:tcW w:type="dxa" w:w="7425"/>
          </w:tcPr>
          <w:p>
            <w:pPr>
              <w:spacing w:after="0"/>
            </w:pPr>
            <w:r>
              <w:rPr>
                <w:sz w:val="18"/>
                <w:highlight w:val="yellow"/>
              </w:rPr>
              <w:t>[PROXY OR FILTER]</w:t>
            </w:r>
            <w:r>
              <w:rPr>
                <w:sz w:val="18"/>
              </w:rPr>
              <w:t xml:space="preserve">. Allow </w:t>
            </w:r>
            <w:r>
              <w:rPr>
                <w:rFonts w:ascii="Consolas" w:hAnsi="Consolas"/>
                <w:sz w:val="16"/>
              </w:rPr>
              <w:t>*.spertsuite.com</w:t>
            </w:r>
            <w:r>
              <w:rPr>
                <w:sz w:val="18"/>
              </w:rPr>
              <w:t>, and for tier 2 the Google Firebase endpoints</w:t>
            </w:r>
          </w:p>
        </w:tc>
      </w:tr>
      <w:tr>
        <w:trPr>
          <w:cantSplit/>
        </w:trPr>
        <w:tc>
          <w:tcPr>
            <w:tcW w:type="dxa" w:w="2943"/>
            <w:shd w:val="clear" w:color="auto" w:fill="f1f5f9"/>
          </w:tcPr>
          <w:p>
            <w:pPr>
              <w:spacing w:after="0"/>
            </w:pPr>
            <w:r>
              <w:rPr>
                <w:sz w:val="18"/>
              </w:rPr>
              <w:t>Identity provider (tier 2)</w:t>
            </w:r>
          </w:p>
        </w:tc>
        <w:tc>
          <w:tcPr>
            <w:tcW w:type="dxa" w:w="7425"/>
            <w:shd w:val="clear" w:color="auto" w:fill="f1f5f9"/>
          </w:tcPr>
          <w:p>
            <w:pPr>
              <w:spacing w:after="0"/>
            </w:pPr>
            <w:r>
              <w:rPr>
                <w:sz w:val="18"/>
                <w:highlight w:val="yellow"/>
              </w:rPr>
              <w:t>[TENANT]</w:t>
            </w:r>
            <w:r>
              <w:rPr>
                <w:sz w:val="18"/>
              </w:rPr>
              <w:t xml:space="preserve">, </w:t>
            </w:r>
            <w:r>
              <w:rPr>
                <w:sz w:val="18"/>
                <w:highlight w:val="yellow"/>
              </w:rPr>
              <w:t>[MFA]</w:t>
            </w:r>
            <w:r>
              <w:rPr>
                <w:sz w:val="18"/>
              </w:rPr>
              <w:t xml:space="preserve">, </w:t>
            </w:r>
            <w:r>
              <w:rPr>
                <w:sz w:val="18"/>
                <w:highlight w:val="yellow"/>
              </w:rPr>
              <w:t>[CONDITIONAL ACCESS]</w:t>
            </w:r>
            <w:r>
              <w:rPr>
                <w:sz w:val="18"/>
              </w:rPr>
              <w:t xml:space="preserve">, </w:t>
            </w:r>
            <w:r>
              <w:rPr>
                <w:sz w:val="18"/>
                <w:highlight w:val="yellow"/>
              </w:rPr>
              <w:t>[USER CONSENT TO THIRD-PARTY APPS, ALLOWED / BLOCKED]</w:t>
            </w:r>
          </w:p>
        </w:tc>
      </w:tr>
      <w:tr>
        <w:trPr>
          <w:cantSplit/>
        </w:trPr>
        <w:tc>
          <w:tcPr>
            <w:tcW w:type="dxa" w:w="2943"/>
          </w:tcPr>
          <w:p>
            <w:pPr>
              <w:spacing w:after="0"/>
            </w:pPr>
            <w:r>
              <w:rPr>
                <w:sz w:val="18"/>
              </w:rPr>
              <w:t>Data loss prevention</w:t>
            </w:r>
          </w:p>
        </w:tc>
        <w:tc>
          <w:tcPr>
            <w:tcW w:type="dxa" w:w="7425"/>
          </w:tcPr>
          <w:p>
            <w:pPr>
              <w:spacing w:after="0"/>
            </w:pPr>
            <w:r>
              <w:rPr>
                <w:sz w:val="18"/>
                <w:highlight w:val="yellow"/>
              </w:rPr>
              <w:t>[DLP CONTROLS THAT APPLY TO BROWSER STORAGE, EXPORTS OR AI CHAT]</w:t>
            </w:r>
          </w:p>
        </w:tc>
      </w:tr>
      <w:tr>
        <w:trPr>
          <w:cantSplit/>
        </w:trPr>
        <w:tc>
          <w:tcPr>
            <w:tcW w:type="dxa" w:w="2943"/>
            <w:shd w:val="clear" w:color="auto" w:fill="f1f5f9"/>
          </w:tcPr>
          <w:p>
            <w:pPr>
              <w:spacing w:after="0"/>
            </w:pPr>
            <w:r>
              <w:rPr>
                <w:sz w:val="18"/>
              </w:rPr>
              <w:t>AI platform (tier 3)</w:t>
            </w:r>
          </w:p>
        </w:tc>
        <w:tc>
          <w:tcPr>
            <w:tcW w:type="dxa" w:w="7425"/>
            <w:shd w:val="clear" w:color="auto" w:fill="f1f5f9"/>
          </w:tcPr>
          <w:p>
            <w:pPr>
              <w:spacing w:after="0"/>
            </w:pPr>
            <w:r>
              <w:rPr>
                <w:sz w:val="18"/>
                <w:highlight w:val="yellow"/>
              </w:rPr>
              <w:t>[AI PLATFORM]</w:t>
            </w:r>
            <w:r>
              <w:rPr>
                <w:sz w:val="18"/>
              </w:rPr>
              <w:t xml:space="preserve">; account type </w:t>
            </w:r>
            <w:r>
              <w:rPr>
                <w:sz w:val="18"/>
                <w:highlight w:val="yellow"/>
              </w:rPr>
              <w:t>[ACCOUNT TYPE]</w:t>
            </w:r>
            <w:r>
              <w:rPr>
                <w:sz w:val="18"/>
              </w:rPr>
              <w:t xml:space="preserve">; custom connectors </w:t>
            </w:r>
            <w:r>
              <w:rPr>
                <w:sz w:val="18"/>
                <w:highlight w:val="yellow"/>
              </w:rPr>
              <w:t>[ALLOWED / RESTRICTED / BLOCKED]</w:t>
            </w:r>
          </w:p>
        </w:tc>
      </w:tr>
      <w:tr>
        <w:trPr>
          <w:cantSplit/>
        </w:trPr>
        <w:tc>
          <w:tcPr>
            <w:tcW w:type="dxa" w:w="2943"/>
          </w:tcPr>
          <w:p>
            <w:pPr>
              <w:spacing w:after="0"/>
            </w:pPr>
            <w:r>
              <w:rPr>
                <w:sz w:val="18"/>
              </w:rPr>
              <w:t>Export storage</w:t>
            </w:r>
          </w:p>
        </w:tc>
        <w:tc>
          <w:tcPr>
            <w:tcW w:type="dxa" w:w="7425"/>
          </w:tcPr>
          <w:p>
            <w:pPr>
              <w:spacing w:after="0"/>
            </w:pPr>
            <w:r>
              <w:rPr>
                <w:sz w:val="18"/>
                <w:highlight w:val="yellow"/>
              </w:rPr>
              <w:t>[WHERE EXPORTED FILES MUST BE SAVED]</w:t>
            </w:r>
          </w:p>
        </w:tc>
      </w:tr>
      <w:tr>
        <w:trPr>
          <w:cantSplit/>
        </w:trPr>
        <w:tc>
          <w:tcPr>
            <w:tcW w:type="dxa" w:w="2943"/>
            <w:shd w:val="clear" w:color="auto" w:fill="f1f5f9"/>
          </w:tcPr>
          <w:p>
            <w:pPr>
              <w:spacing w:after="0"/>
            </w:pPr>
            <w:r>
              <w:rPr>
                <w:sz w:val="18"/>
              </w:rPr>
              <w:t>Acceptable-use rule</w:t>
            </w:r>
          </w:p>
        </w:tc>
        <w:tc>
          <w:tcPr>
            <w:tcW w:type="dxa" w:w="7425"/>
            <w:shd w:val="clear" w:color="auto" w:fill="f1f5f9"/>
          </w:tcPr>
          <w:p>
            <w:pPr>
              <w:spacing w:after="0"/>
            </w:pPr>
            <w:r>
              <w:rPr>
                <w:sz w:val="18"/>
                <w:highlight w:val="yellow"/>
              </w:rPr>
              <w:t>[POLICY REFERENCE]</w:t>
            </w:r>
          </w:p>
        </w:tc>
      </w:tr>
    </w:tbl>
    <w:p>
      <w:pPr>
        <w:spacing w:after="40"/>
      </w:pPr>
    </w:p>
    <w:p>
      <w:r>
        <w:rPr/>
        <w:t xml:space="preserve">Restricting custom connectors in </w:t>
      </w:r>
      <w:r>
        <w:rPr>
          <w:highlight w:val="yellow"/>
        </w:rPr>
        <w:t>[AI PLATFORM]</w:t>
      </w:r>
      <w:r>
        <w:rPr/>
        <w:t>, where available, stops Connect AI. Blocking the Connect AI server (</w:t>
      </w:r>
      <w:r>
        <w:rPr>
          <w:rFonts w:ascii="Consolas" w:hAnsi="Consolas"/>
          <w:sz w:val="18"/>
        </w:rPr>
        <w:t>mcp.spertsuite.com</w:t>
      </w:r>
      <w:r>
        <w:rPr/>
        <w:t xml:space="preserve">) on </w:t>
      </w:r>
      <w:r>
        <w:rPr>
          <w:highlight w:val="yellow"/>
        </w:rPr>
        <w:t>[ORGANIZATION]</w:t>
      </w:r>
      <w:r>
        <w:rPr/>
        <w:t>'s network does not work, because the AI provider's servers call it (flow 5), not the user's device. Starting Connect AI does need the user's browser to call SPERT</w:t>
      </w:r>
      <w:r>
        <w:rPr>
          <w:vertAlign w:val="superscript"/>
        </w:rPr>
        <w:t>®</w:t>
      </w:r>
      <w:r>
        <w:rPr/>
        <w:t xml:space="preserve"> Suite's pairing function (flow 2) at </w:t>
      </w:r>
      <w:r>
        <w:rPr>
          <w:rFonts w:ascii="Consolas" w:hAnsi="Consolas"/>
          <w:sz w:val="18"/>
        </w:rPr>
        <w:t>us-central1-spert-suite.cloudfunctions.net/generatePairingCode</w:t>
      </w:r>
      <w:r>
        <w:rPr/>
        <w:t xml:space="preserve">, so blocking that path, or that whole host (which also stops sharing invitations), may stop Connect AI from starting. This is untested, so </w:t>
      </w:r>
      <w:r>
        <w:rPr>
          <w:highlight w:val="yellow"/>
        </w:rPr>
        <w:t>[ORGANIZATION]</w:t>
      </w:r>
      <w:r>
        <w:rPr/>
        <w:t>'s IT team should test any block it relies on.</w:t>
      </w:r>
    </w:p>
    <w:p>
      <w:pPr>
        <w:pStyle w:val="Heading2"/>
      </w:pPr>
      <w:r>
        <w:rPr/>
        <w:t>7. Trust boundaries and controls</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481"/>
        <w:gridCol w:w="2716"/>
        <w:gridCol w:w="2800"/>
        <w:gridCol w:w="2371"/>
      </w:tblGrid>
      <w:tr>
        <w:trPr>
          <w:cantSplit/>
          <w:tblHeader w:val="true"/>
        </w:trPr>
        <w:tc>
          <w:tcPr>
            <w:tcW w:type="dxa" w:w="2481"/>
            <w:shd w:val="clear" w:color="auto" w:fill="1d4ed8"/>
          </w:tcPr>
          <w:p>
            <w:pPr>
              <w:spacing w:after="0"/>
            </w:pPr>
            <w:r>
              <w:rPr>
                <w:b/>
                <w:color w:val="FFFFFF"/>
                <w:sz w:val="18"/>
              </w:rPr>
              <w:t>Boundary</w:t>
            </w:r>
          </w:p>
        </w:tc>
        <w:tc>
          <w:tcPr>
            <w:tcW w:type="dxa" w:w="2716"/>
            <w:shd w:val="clear" w:color="auto" w:fill="1d4ed8"/>
          </w:tcPr>
          <w:p>
            <w:pPr>
              <w:spacing w:after="0"/>
            </w:pPr>
            <w:r>
              <w:rPr>
                <w:b/>
                <w:color w:val="FFFFFF"/>
                <w:sz w:val="18"/>
              </w:rPr>
              <w:t>What crosses it</w:t>
            </w:r>
          </w:p>
        </w:tc>
        <w:tc>
          <w:tcPr>
            <w:tcW w:type="dxa" w:w="2800"/>
            <w:shd w:val="clear" w:color="auto" w:fill="1d4ed8"/>
          </w:tcPr>
          <w:p>
            <w:pPr>
              <w:spacing w:after="0"/>
            </w:pPr>
            <w:r>
              <w:rPr>
                <w:b/>
                <w:color w:val="FFFFFF"/>
                <w:sz w:val="18"/>
              </w:rPr>
              <w:t>SPERT</w:t>
            </w:r>
            <w:r>
              <w:rPr>
                <w:b/>
                <w:color w:val="FFFFFF"/>
                <w:sz w:val="18"/>
                <w:vertAlign w:val="superscript"/>
              </w:rPr>
              <w:t>®</w:t>
            </w:r>
            <w:r>
              <w:rPr>
                <w:b/>
                <w:color w:val="FFFFFF"/>
                <w:sz w:val="18"/>
              </w:rPr>
              <w:t xml:space="preserve"> Suite control</w:t>
            </w:r>
          </w:p>
        </w:tc>
        <w:tc>
          <w:tcPr>
            <w:tcW w:type="dxa" w:w="2371"/>
            <w:shd w:val="clear" w:color="auto" w:fill="1d4ed8"/>
          </w:tcPr>
          <w:p>
            <w:pPr>
              <w:spacing w:after="0"/>
            </w:pPr>
            <w:r>
              <w:rPr>
                <w:b/>
                <w:color w:val="FFFFFF"/>
                <w:sz w:val="18"/>
              </w:rPr>
              <w:t>Organization's control</w:t>
            </w:r>
          </w:p>
        </w:tc>
      </w:tr>
      <w:tr>
        <w:trPr>
          <w:cantSplit/>
        </w:trPr>
        <w:tc>
          <w:tcPr>
            <w:tcW w:type="dxa" w:w="2481"/>
          </w:tcPr>
          <w:p>
            <w:pPr>
              <w:spacing w:after="0"/>
            </w:pPr>
            <w:r>
              <w:rPr>
                <w:sz w:val="18"/>
              </w:rPr>
              <w:t>Device and Vercel</w:t>
            </w:r>
          </w:p>
        </w:tc>
        <w:tc>
          <w:tcPr>
            <w:tcW w:type="dxa" w:w="2716"/>
          </w:tcPr>
          <w:p>
            <w:pPr>
              <w:spacing w:after="0"/>
            </w:pPr>
            <w:r>
              <w:rPr>
                <w:sz w:val="18"/>
              </w:rPr>
              <w:t>Page requests, app code</w:t>
            </w:r>
          </w:p>
        </w:tc>
        <w:tc>
          <w:tcPr>
            <w:tcW w:type="dxa" w:w="2800"/>
          </w:tcPr>
          <w:p>
            <w:pPr>
              <w:spacing w:after="0"/>
            </w:pPr>
            <w:r>
              <w:rPr>
                <w:sz w:val="18"/>
              </w:rPr>
              <w:t>HTTPS</w:t>
            </w:r>
          </w:p>
        </w:tc>
        <w:tc>
          <w:tcPr>
            <w:tcW w:type="dxa" w:w="2371"/>
          </w:tcPr>
          <w:p>
            <w:pPr>
              <w:spacing w:after="0"/>
            </w:pPr>
            <w:r>
              <w:rPr>
                <w:sz w:val="18"/>
                <w:highlight w:val="yellow"/>
              </w:rPr>
              <w:t>[CONTROL]</w:t>
            </w:r>
          </w:p>
        </w:tc>
      </w:tr>
      <w:tr>
        <w:trPr>
          <w:cantSplit/>
        </w:trPr>
        <w:tc>
          <w:tcPr>
            <w:tcW w:type="dxa" w:w="2481"/>
            <w:shd w:val="clear" w:color="auto" w:fill="f1f5f9"/>
          </w:tcPr>
          <w:p>
            <w:pPr>
              <w:spacing w:after="0"/>
            </w:pPr>
            <w:r>
              <w:rPr>
                <w:sz w:val="18"/>
              </w:rPr>
              <w:t>Device and sign-in provider (tier 2)</w:t>
            </w:r>
          </w:p>
        </w:tc>
        <w:tc>
          <w:tcPr>
            <w:tcW w:type="dxa" w:w="2716"/>
            <w:shd w:val="clear" w:color="auto" w:fill="f1f5f9"/>
          </w:tcPr>
          <w:p>
            <w:pPr>
              <w:spacing w:after="0"/>
            </w:pPr>
            <w:r>
              <w:rPr>
                <w:sz w:val="18"/>
              </w:rPr>
              <w:t>Sign-in</w:t>
            </w:r>
          </w:p>
        </w:tc>
        <w:tc>
          <w:tcPr>
            <w:tcW w:type="dxa" w:w="2800"/>
            <w:shd w:val="clear" w:color="auto" w:fill="f1f5f9"/>
          </w:tcPr>
          <w:p>
            <w:pPr>
              <w:spacing w:after="0"/>
            </w:pPr>
            <w:r>
              <w:rPr>
                <w:sz w:val="18"/>
              </w:rPr>
              <w:t>Provider's sign-in only; no passwords</w:t>
            </w:r>
          </w:p>
        </w:tc>
        <w:tc>
          <w:tcPr>
            <w:tcW w:type="dxa" w:w="2371"/>
            <w:shd w:val="clear" w:color="auto" w:fill="f1f5f9"/>
          </w:tcPr>
          <w:p>
            <w:pPr>
              <w:spacing w:after="0"/>
            </w:pPr>
            <w:r>
              <w:rPr>
                <w:sz w:val="18"/>
                <w:highlight w:val="yellow"/>
              </w:rPr>
              <w:t>[MFA, CONDITIONAL ACCESS]</w:t>
            </w:r>
          </w:p>
        </w:tc>
      </w:tr>
      <w:tr>
        <w:trPr>
          <w:cantSplit/>
        </w:trPr>
        <w:tc>
          <w:tcPr>
            <w:tcW w:type="dxa" w:w="2481"/>
          </w:tcPr>
          <w:p>
            <w:pPr>
              <w:spacing w:after="0"/>
            </w:pPr>
            <w:r>
              <w:rPr>
                <w:sz w:val="18"/>
              </w:rPr>
              <w:t>Device and the operator's Google Cloud (tiers 2, 3)</w:t>
            </w:r>
          </w:p>
        </w:tc>
        <w:tc>
          <w:tcPr>
            <w:tcW w:type="dxa" w:w="2716"/>
          </w:tcPr>
          <w:p>
            <w:pPr>
              <w:spacing w:after="0"/>
            </w:pPr>
            <w:r>
              <w:rPr>
                <w:sz w:val="18"/>
              </w:rPr>
              <w:t>Cloud projects, profiles, invitations; relay records and snapshots</w:t>
            </w:r>
          </w:p>
        </w:tc>
        <w:tc>
          <w:tcPr>
            <w:tcW w:type="dxa" w:w="2800"/>
          </w:tcPr>
          <w:p>
            <w:pPr>
              <w:spacing w:after="0"/>
            </w:pPr>
            <w:r>
              <w:rPr>
                <w:sz w:val="18"/>
              </w:rPr>
              <w:t>HTTPS; Firebase Authentication; Firestore security rules</w:t>
            </w:r>
          </w:p>
        </w:tc>
        <w:tc>
          <w:tcPr>
            <w:tcW w:type="dxa" w:w="2371"/>
          </w:tcPr>
          <w:p>
            <w:pPr>
              <w:spacing w:after="0"/>
            </w:pPr>
            <w:r>
              <w:rPr>
                <w:sz w:val="18"/>
                <w:highlight w:val="yellow"/>
              </w:rPr>
              <w:t>[CONTROL]</w:t>
            </w:r>
          </w:p>
        </w:tc>
      </w:tr>
      <w:tr>
        <w:trPr>
          <w:cantSplit/>
        </w:trPr>
        <w:tc>
          <w:tcPr>
            <w:tcW w:type="dxa" w:w="2481"/>
            <w:shd w:val="clear" w:color="auto" w:fill="f1f5f9"/>
          </w:tcPr>
          <w:p>
            <w:pPr>
              <w:spacing w:after="0"/>
            </w:pPr>
            <w:r>
              <w:rPr>
                <w:sz w:val="18"/>
              </w:rPr>
              <w:t>AI provider and the Connect AI server (tier 3)</w:t>
            </w:r>
          </w:p>
        </w:tc>
        <w:tc>
          <w:tcPr>
            <w:tcW w:type="dxa" w:w="2716"/>
            <w:shd w:val="clear" w:color="auto" w:fill="f1f5f9"/>
          </w:tcPr>
          <w:p>
            <w:pPr>
              <w:spacing w:after="0"/>
            </w:pPr>
            <w:r>
              <w:rPr>
                <w:sz w:val="18"/>
              </w:rPr>
              <w:t>Tool calls and results, including snapshots in Read Mode</w:t>
            </w:r>
          </w:p>
        </w:tc>
        <w:tc>
          <w:tcPr>
            <w:tcW w:type="dxa" w:w="2800"/>
            <w:shd w:val="clear" w:color="auto" w:fill="f1f5f9"/>
          </w:tcPr>
          <w:p>
            <w:pPr>
              <w:spacing w:after="0"/>
            </w:pPr>
            <w:r>
              <w:rPr>
                <w:sz w:val="18"/>
              </w:rPr>
              <w:t>HTTPS; single-use pairing code; session identifier; rate limit</w:t>
            </w:r>
          </w:p>
        </w:tc>
        <w:tc>
          <w:tcPr>
            <w:tcW w:type="dxa" w:w="2371"/>
            <w:shd w:val="clear" w:color="auto" w:fill="f1f5f9"/>
          </w:tcPr>
          <w:p>
            <w:pPr>
              <w:spacing w:after="0"/>
            </w:pPr>
            <w:r>
              <w:rPr>
                <w:sz w:val="18"/>
                <w:highlight w:val="yellow"/>
              </w:rPr>
              <w:t>[AI PLATFORM CONNECTOR CONTROLS]</w:t>
            </w:r>
          </w:p>
        </w:tc>
      </w:tr>
      <w:tr>
        <w:trPr>
          <w:cantSplit/>
        </w:trPr>
        <w:tc>
          <w:tcPr>
            <w:tcW w:type="dxa" w:w="2481"/>
          </w:tcPr>
          <w:p>
            <w:pPr>
              <w:spacing w:after="0"/>
            </w:pPr>
            <w:r>
              <w:rPr>
                <w:sz w:val="18"/>
              </w:rPr>
              <w:t>Device and AI provider (tier 3)</w:t>
            </w:r>
          </w:p>
        </w:tc>
        <w:tc>
          <w:tcPr>
            <w:tcW w:type="dxa" w:w="2716"/>
          </w:tcPr>
          <w:p>
            <w:pPr>
              <w:spacing w:after="0"/>
            </w:pPr>
            <w:r>
              <w:rPr>
                <w:sz w:val="18"/>
              </w:rPr>
              <w:t>Everything typed into the AI chat</w:t>
            </w:r>
          </w:p>
        </w:tc>
        <w:tc>
          <w:tcPr>
            <w:tcW w:type="dxa" w:w="2800"/>
          </w:tcPr>
          <w:p>
            <w:pPr>
              <w:spacing w:after="0"/>
            </w:pPr>
            <w:r>
              <w:rPr>
                <w:sz w:val="18"/>
              </w:rPr>
              <w:t>None: outside SPERT</w:t>
            </w:r>
            <w:r>
              <w:rPr>
                <w:sz w:val="18"/>
                <w:vertAlign w:val="superscript"/>
              </w:rPr>
              <w:t>®</w:t>
            </w:r>
            <w:r>
              <w:rPr>
                <w:sz w:val="18"/>
              </w:rPr>
              <w:t xml:space="preserve"> Suite</w:t>
            </w:r>
          </w:p>
        </w:tc>
        <w:tc>
          <w:tcPr>
            <w:tcW w:type="dxa" w:w="2371"/>
          </w:tcPr>
          <w:p>
            <w:pPr>
              <w:spacing w:after="0"/>
            </w:pPr>
            <w:r>
              <w:rPr>
                <w:sz w:val="18"/>
                <w:highlight w:val="yellow"/>
              </w:rPr>
              <w:t>[AI PLATFORM ACCOUNT CONTROLS]</w:t>
            </w:r>
          </w:p>
        </w:tc>
      </w:tr>
      <w:tr>
        <w:trPr>
          <w:cantSplit/>
        </w:trPr>
        <w:tc>
          <w:tcPr>
            <w:tcW w:type="dxa" w:w="2481"/>
            <w:shd w:val="clear" w:color="auto" w:fill="f1f5f9"/>
          </w:tcPr>
          <w:p>
            <w:pPr>
              <w:spacing w:after="0"/>
            </w:pPr>
            <w:r>
              <w:rPr>
                <w:sz w:val="18"/>
              </w:rPr>
              <w:t>Device and Nager.Date (SPERT</w:t>
            </w:r>
            <w:r>
              <w:rPr>
                <w:sz w:val="18"/>
                <w:vertAlign w:val="superscript"/>
              </w:rPr>
              <w:t>®</w:t>
            </w:r>
            <w:r>
              <w:rPr>
                <w:sz w:val="18"/>
              </w:rPr>
              <w:t xml:space="preserve"> Scheduler, optional)</w:t>
            </w:r>
          </w:p>
        </w:tc>
        <w:tc>
          <w:tcPr>
            <w:tcW w:type="dxa" w:w="2716"/>
            <w:shd w:val="clear" w:color="auto" w:fill="f1f5f9"/>
          </w:tcPr>
          <w:p>
            <w:pPr>
              <w:spacing w:after="0"/>
            </w:pPr>
            <w:r>
              <w:rPr>
                <w:sz w:val="18"/>
              </w:rPr>
              <w:t>Country code and year</w:t>
            </w:r>
          </w:p>
        </w:tc>
        <w:tc>
          <w:tcPr>
            <w:tcW w:type="dxa" w:w="2800"/>
            <w:shd w:val="clear" w:color="auto" w:fill="f1f5f9"/>
          </w:tcPr>
          <w:p>
            <w:pPr>
              <w:spacing w:after="0"/>
            </w:pPr>
            <w:r>
              <w:rPr>
                <w:sz w:val="18"/>
              </w:rPr>
              <w:t>HTTPS; responses checked</w:t>
            </w:r>
          </w:p>
        </w:tc>
        <w:tc>
          <w:tcPr>
            <w:tcW w:type="dxa" w:w="2371"/>
            <w:shd w:val="clear" w:color="auto" w:fill="f1f5f9"/>
          </w:tcPr>
          <w:p>
            <w:pPr>
              <w:spacing w:after="0"/>
            </w:pPr>
            <w:r>
              <w:rPr>
                <w:sz w:val="18"/>
                <w:highlight w:val="yellow"/>
              </w:rPr>
              <w:t>[CONTROL]</w:t>
            </w:r>
          </w:p>
        </w:tc>
      </w:tr>
    </w:tbl>
    <w:p>
      <w:pPr>
        <w:spacing w:after="40"/>
      </w:pPr>
    </w:p>
    <w:p>
      <w:pPr>
        <w:pStyle w:val="Heading2"/>
      </w:pPr>
      <w:r>
        <w:rPr/>
        <w:t>Reviewer notes</w:t>
      </w:r>
    </w:p>
    <w:p>
      <w:pPr>
        <w:numPr>
          <w:ilvl w:val="0"/>
          <w:numId w:val="9000"/>
        </w:numPr>
        <w:spacing w:after="40"/>
      </w:pPr>
      <w:r>
        <w:rPr>
          <w:b/>
        </w:rPr>
        <w:t>"Local-only has an exception."</w:t>
      </w:r>
      <w:r>
        <w:rPr/>
        <w:t xml:space="preserve"> Correct, and the legal documents say so: Connect AI Read Mode uploads the open project whatever the storage setting (</w:t>
      </w:r>
      <w:hyperlink r:id="rId12">
        <w:r>
          <w:rPr>
            <w:color w:val="1d4ed8"/>
            <w:u w:val="single"/>
          </w:rPr>
          <w:t xml:space="preserve">Privacy Policy</w:t>
        </w:r>
      </w:hyperlink>
      <w:r>
        <w:rPr/>
        <w:t xml:space="preserve"> §1; </w:t>
      </w:r>
      <w:hyperlink r:id="rId13">
        <w:r>
          <w:rPr>
            <w:color w:val="1d4ed8"/>
            <w:u w:val="single"/>
          </w:rPr>
          <w:t xml:space="preserve">AI Privacy Notice</w:t>
        </w:r>
      </w:hyperlink>
      <w:r>
        <w:rPr/>
        <w:t xml:space="preserve"> §2.2). If </w:t>
      </w:r>
      <w:r>
        <w:rPr>
          <w:highlight w:val="yellow"/>
        </w:rPr>
        <w:t>[ORGANIZATION]</w:t>
      </w:r>
      <w:r>
        <w:rPr/>
        <w:t xml:space="preserve"> approves tier 1 only, Connect AI is out of scope and the exception does not arise in approved use; there is no technical switch that enforces that, so it rests on policy.</w:t>
      </w:r>
    </w:p>
    <w:p>
      <w:pPr>
        <w:numPr>
          <w:ilvl w:val="0"/>
          <w:numId w:val="9000"/>
        </w:numPr>
        <w:spacing w:after="40"/>
      </w:pPr>
      <w:r>
        <w:rPr>
          <w:b/>
        </w:rPr>
        <w:t>"Data leaving the environment."</w:t>
      </w:r>
      <w:r>
        <w:rPr/>
        <w:t xml:space="preserve"> Figures 2 to 4 show every flow. Only flows 4 and 5 in tier 1 leave the device, and neither carries project data.</w:t>
      </w:r>
    </w:p>
    <w:p>
      <w:pPr>
        <w:numPr>
          <w:ilvl w:val="0"/>
          <w:numId w:val="9000"/>
        </w:numPr>
        <w:spacing w:after="40"/>
      </w:pPr>
      <w:r>
        <w:rPr>
          <w:b/>
        </w:rPr>
        <w:t>"Audit and logging."</w:t>
      </w:r>
      <w:r>
        <w:rPr/>
        <w:t xml:space="preserve"> None of these flows produces a log </w:t>
      </w:r>
      <w:r>
        <w:rPr>
          <w:highlight w:val="yellow"/>
        </w:rPr>
        <w:t>[ORGANIZATION]</w:t>
      </w:r>
      <w:r>
        <w:rPr/>
        <w:t xml:space="preserve"> can see. Google Cloud keeps operational request logs for 30 days for the operator only (</w:t>
      </w:r>
      <w:hyperlink r:id="rId12">
        <w:r>
          <w:rPr>
            <w:color w:val="1d4ed8"/>
            <w:u w:val="single"/>
          </w:rPr>
          <w:t xml:space="preserve">Privacy Policy</w:t>
        </w:r>
      </w:hyperlink>
      <w:r>
        <w:rPr/>
        <w:t xml:space="preserve"> §2.3).</w:t>
      </w:r>
    </w:p>
    <w:p>
      <w:pPr>
        <w:numPr>
          <w:ilvl w:val="0"/>
          <w:numId w:val="9000"/>
        </w:numPr>
        <w:spacing w:after="40"/>
      </w:pPr>
      <w:r>
        <w:rPr>
          <w:b/>
        </w:rPr>
        <w:t>"Open source, no vendor review."</w:t>
      </w:r>
      <w:r>
        <w:rPr/>
        <w:t xml:space="preserve"> The flows here were traced in the public source at the versions listed; no independent party has verified them.</w:t>
      </w:r>
    </w:p>
    <w:p>
      <w:pPr>
        <w:numPr>
          <w:ilvl w:val="0"/>
          <w:numId w:val="9000"/>
        </w:numPr>
        <w:spacing w:after="120"/>
      </w:pPr>
      <w:r>
        <w:rPr>
          <w:b/>
        </w:rPr>
        <w:t>Scope and limits.</w:t>
      </w:r>
      <w:r>
        <w:rPr/>
        <w:t xml:space="preserve"> Not verified: live security headers, deployed logging settings, and any AI provider's handling of data.</w:t>
      </w:r>
    </w:p>
    <w:p>
      <w:pPr>
        <w:pStyle w:val="Heading2"/>
      </w:pPr>
      <w:r>
        <w:rPr/>
        <w:t>Appendix: Connect AI tools</w:t>
      </w:r>
    </w:p>
    <w:p>
      <w:r>
        <w:rPr/>
        <w:t>From the Connect AI server's tool definitions (</w:t>
      </w:r>
      <w:hyperlink r:id="rId11">
        <w:r>
          <w:rPr>
            <w:color w:val="1d4ed8"/>
            <w:u w:val="single"/>
          </w:rPr>
          <w:t xml:space="preserve">spert-landing</w:t>
        </w:r>
      </w:hyperlink>
      <w:r>
        <w:rPr/>
        <w:t xml:space="preserve">, </w:t>
      </w:r>
      <w:r>
        <w:rPr>
          <w:rFonts w:ascii="Consolas" w:hAnsi="Consolas"/>
          <w:sz w:val="18"/>
        </w:rPr>
        <w:t>functions/src/mcp/tools/</w:t>
      </w:r>
      <w:r>
        <w:rPr/>
        <w:t xml:space="preserve">, at commit </w:t>
      </w:r>
      <w:r>
        <w:rPr>
          <w:rFonts w:ascii="Consolas" w:hAnsi="Consolas"/>
          <w:sz w:val="18"/>
        </w:rPr>
        <w:t>c54e8da</w:t>
      </w:r>
      <w:r>
        <w:rPr/>
        <w:t xml:space="preserve">). "Destructive" means the tool can overwrite or remove existing content. Two shared tools, </w:t>
      </w:r>
      <w:r>
        <w:rPr>
          <w:rFonts w:ascii="Consolas" w:hAnsi="Consolas"/>
          <w:sz w:val="18"/>
        </w:rPr>
        <w:t>resolve_session_code</w:t>
      </w:r>
      <w:r>
        <w:rPr/>
        <w:t xml:space="preserve"> and </w:t>
      </w:r>
      <w:r>
        <w:rPr>
          <w:rFonts w:ascii="Consolas" w:hAnsi="Consolas"/>
          <w:sz w:val="18"/>
        </w:rPr>
        <w:t>get_session_info</w:t>
      </w:r>
      <w:r>
        <w:rPr/>
        <w:t>, change no project content.</w:t>
      </w:r>
    </w:p>
    <w:p>
      <w:r>
        <w:rPr>
          <w:b/>
        </w:rPr>
        <w:t>SPERT</w:t>
      </w:r>
      <w:r>
        <w:rPr>
          <w:b/>
          <w:vertAlign w:val="superscript"/>
        </w:rPr>
        <w:t>®</w:t>
      </w:r>
      <w:r>
        <w:rPr>
          <w:b/>
        </w:rPr>
        <w:t xml:space="preserve"> Forecaster (3, read-only):</w:t>
      </w:r>
      <w:r>
        <w:rPr/>
        <w:t xml:space="preserve"> </w:t>
      </w:r>
      <w:r>
        <w:rPr>
          <w:rFonts w:ascii="Consolas" w:hAnsi="Consolas"/>
          <w:sz w:val="18"/>
        </w:rPr>
        <w:t>forecaster_get_project</w:t>
      </w:r>
      <w:r>
        <w:rPr/>
        <w:t xml:space="preserve"> (needs Read Mode), </w:t>
      </w:r>
      <w:r>
        <w:rPr>
          <w:rFonts w:ascii="Consolas" w:hAnsi="Consolas"/>
          <w:sz w:val="18"/>
        </w:rPr>
        <w:t>forecaster_explain_method</w:t>
      </w:r>
      <w:r>
        <w:rPr/>
        <w:t xml:space="preserve">, </w:t>
      </w:r>
      <w:r>
        <w:rPr>
          <w:rFonts w:ascii="Consolas" w:hAnsi="Consolas"/>
          <w:sz w:val="18"/>
        </w:rPr>
        <w:t>forecaster_get_glossary</w:t>
      </w:r>
      <w:r>
        <w:rPr/>
        <w:t>.</w:t>
      </w:r>
    </w:p>
    <w:p>
      <w:r>
        <w:rPr>
          <w:b/>
        </w:rPr>
        <w:t>SPERT</w:t>
      </w:r>
      <w:r>
        <w:rPr>
          <w:b/>
          <w:vertAlign w:val="superscript"/>
        </w:rPr>
        <w:t>®</w:t>
      </w:r>
      <w:r>
        <w:rPr>
          <w:b/>
        </w:rPr>
        <w:t xml:space="preserve"> Scheduler (25):</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4894"/>
        <w:gridCol w:w="3563"/>
        <w:gridCol w:w="1911"/>
      </w:tblGrid>
      <w:tr>
        <w:trPr>
          <w:cantSplit/>
          <w:tblHeader w:val="true"/>
        </w:trPr>
        <w:tc>
          <w:tcPr>
            <w:tcW w:type="dxa" w:w="4894"/>
            <w:shd w:val="clear" w:color="auto" w:fill="1d4ed8"/>
          </w:tcPr>
          <w:p>
            <w:pPr>
              <w:spacing w:after="0"/>
            </w:pPr>
            <w:r>
              <w:rPr>
                <w:b/>
                <w:color w:val="FFFFFF"/>
                <w:sz w:val="18"/>
              </w:rPr>
              <w:t>Tool</w:t>
            </w:r>
          </w:p>
        </w:tc>
        <w:tc>
          <w:tcPr>
            <w:tcW w:type="dxa" w:w="3563"/>
            <w:shd w:val="clear" w:color="auto" w:fill="1d4ed8"/>
          </w:tcPr>
          <w:p>
            <w:pPr>
              <w:spacing w:after="0"/>
            </w:pPr>
            <w:r>
              <w:rPr>
                <w:b/>
                <w:color w:val="FFFFFF"/>
                <w:sz w:val="18"/>
              </w:rPr>
              <w:t>Effect</w:t>
            </w:r>
          </w:p>
        </w:tc>
        <w:tc>
          <w:tcPr>
            <w:tcW w:type="dxa" w:w="1911"/>
            <w:shd w:val="clear" w:color="auto" w:fill="1d4ed8"/>
          </w:tcPr>
          <w:p>
            <w:pPr>
              <w:spacing w:after="0"/>
            </w:pPr>
            <w:r>
              <w:rPr>
                <w:b/>
                <w:color w:val="FFFFFF"/>
                <w:sz w:val="18"/>
              </w:rPr>
              <w:t>Destructive?</w:t>
            </w:r>
          </w:p>
        </w:tc>
      </w:tr>
      <w:tr>
        <w:trPr>
          <w:cantSplit/>
        </w:trPr>
        <w:tc>
          <w:tcPr>
            <w:tcW w:type="dxa" w:w="4894"/>
          </w:tcPr>
          <w:p>
            <w:pPr>
              <w:spacing w:after="0"/>
            </w:pPr>
            <w:r>
              <w:rPr>
                <w:rFonts w:ascii="Consolas" w:hAnsi="Consolas"/>
                <w:sz w:val="16"/>
              </w:rPr>
              <w:t>scheduler_get_project</w:t>
            </w:r>
          </w:p>
        </w:tc>
        <w:tc>
          <w:tcPr>
            <w:tcW w:type="dxa" w:w="3563"/>
          </w:tcPr>
          <w:p>
            <w:pPr>
              <w:spacing w:after="0"/>
            </w:pPr>
            <w:r>
              <w:rPr>
                <w:sz w:val="18"/>
              </w:rPr>
              <w:t>Read the project (Read Mode)</w:t>
            </w:r>
          </w:p>
        </w:tc>
        <w:tc>
          <w:tcPr>
            <w:tcW w:type="dxa" w:w="1911"/>
          </w:tcPr>
          <w:p>
            <w:pPr>
              <w:spacing w:after="0"/>
            </w:pPr>
            <w:r>
              <w:rPr>
                <w:sz w:val="18"/>
              </w:rPr>
              <w:t>No</w:t>
            </w:r>
          </w:p>
        </w:tc>
      </w:tr>
      <w:tr>
        <w:trPr>
          <w:cantSplit/>
        </w:trPr>
        <w:tc>
          <w:tcPr>
            <w:tcW w:type="dxa" w:w="4894"/>
            <w:shd w:val="clear" w:color="auto" w:fill="f1f5f9"/>
          </w:tcPr>
          <w:p>
            <w:pPr>
              <w:spacing w:after="0"/>
            </w:pPr>
            <w:r>
              <w:rPr>
                <w:rFonts w:ascii="Consolas" w:hAnsi="Consolas"/>
                <w:sz w:val="16"/>
              </w:rPr>
              <w:t>scheduler_create_activity</w:t>
            </w:r>
            <w:r>
              <w:rPr>
                <w:sz w:val="18"/>
              </w:rPr>
              <w:t xml:space="preserve">, </w:t>
            </w:r>
            <w:r>
              <w:rPr>
                <w:rFonts w:ascii="Consolas" w:hAnsi="Consolas"/>
                <w:sz w:val="16"/>
              </w:rPr>
              <w:t>scheduler_bulk_create_activities</w:t>
            </w:r>
          </w:p>
        </w:tc>
        <w:tc>
          <w:tcPr>
            <w:tcW w:type="dxa" w:w="3563"/>
            <w:shd w:val="clear" w:color="auto" w:fill="f1f5f9"/>
          </w:tcPr>
          <w:p>
            <w:pPr>
              <w:spacing w:after="0"/>
            </w:pPr>
            <w:r>
              <w:rPr>
                <w:sz w:val="18"/>
              </w:rPr>
              <w:t>Add activities</w:t>
            </w:r>
          </w:p>
        </w:tc>
        <w:tc>
          <w:tcPr>
            <w:tcW w:type="dxa" w:w="1911"/>
            <w:shd w:val="clear" w:color="auto" w:fill="f1f5f9"/>
          </w:tcPr>
          <w:p>
            <w:pPr>
              <w:spacing w:after="0"/>
            </w:pPr>
            <w:r>
              <w:rPr>
                <w:sz w:val="18"/>
              </w:rPr>
              <w:t>No</w:t>
            </w:r>
          </w:p>
        </w:tc>
      </w:tr>
      <w:tr>
        <w:trPr>
          <w:cantSplit/>
        </w:trPr>
        <w:tc>
          <w:tcPr>
            <w:tcW w:type="dxa" w:w="4894"/>
          </w:tcPr>
          <w:p>
            <w:pPr>
              <w:spacing w:after="0"/>
            </w:pPr>
            <w:r>
              <w:rPr>
                <w:rFonts w:ascii="Consolas" w:hAnsi="Consolas"/>
                <w:sz w:val="16"/>
              </w:rPr>
              <w:t>scheduler_create_milestone</w:t>
            </w:r>
            <w:r>
              <w:rPr>
                <w:sz w:val="18"/>
              </w:rPr>
              <w:t xml:space="preserve">, </w:t>
            </w:r>
            <w:r>
              <w:rPr>
                <w:rFonts w:ascii="Consolas" w:hAnsi="Consolas"/>
                <w:sz w:val="16"/>
              </w:rPr>
              <w:t>scheduler_bulk_create_milestones</w:t>
            </w:r>
          </w:p>
        </w:tc>
        <w:tc>
          <w:tcPr>
            <w:tcW w:type="dxa" w:w="3563"/>
          </w:tcPr>
          <w:p>
            <w:pPr>
              <w:spacing w:after="0"/>
            </w:pPr>
            <w:r>
              <w:rPr>
                <w:sz w:val="18"/>
              </w:rPr>
              <w:t>Add milestones</w:t>
            </w:r>
          </w:p>
        </w:tc>
        <w:tc>
          <w:tcPr>
            <w:tcW w:type="dxa" w:w="1911"/>
          </w:tcPr>
          <w:p>
            <w:pPr>
              <w:spacing w:after="0"/>
            </w:pPr>
            <w:r>
              <w:rPr>
                <w:sz w:val="18"/>
              </w:rPr>
              <w:t>No</w:t>
            </w:r>
          </w:p>
        </w:tc>
      </w:tr>
      <w:tr>
        <w:trPr>
          <w:cantSplit/>
        </w:trPr>
        <w:tc>
          <w:tcPr>
            <w:tcW w:type="dxa" w:w="4894"/>
            <w:shd w:val="clear" w:color="auto" w:fill="f1f5f9"/>
          </w:tcPr>
          <w:p>
            <w:pPr>
              <w:spacing w:after="0"/>
            </w:pPr>
            <w:r>
              <w:rPr>
                <w:rFonts w:ascii="Consolas" w:hAnsi="Consolas"/>
                <w:sz w:val="16"/>
              </w:rPr>
              <w:t>scheduler_add_checklist_items</w:t>
            </w:r>
            <w:r>
              <w:rPr>
                <w:sz w:val="18"/>
              </w:rPr>
              <w:t xml:space="preserve">, </w:t>
            </w:r>
            <w:r>
              <w:rPr>
                <w:rFonts w:ascii="Consolas" w:hAnsi="Consolas"/>
                <w:sz w:val="16"/>
              </w:rPr>
              <w:t>scheduler_add_deliverable_items</w:t>
            </w:r>
          </w:p>
        </w:tc>
        <w:tc>
          <w:tcPr>
            <w:tcW w:type="dxa" w:w="3563"/>
            <w:shd w:val="clear" w:color="auto" w:fill="f1f5f9"/>
          </w:tcPr>
          <w:p>
            <w:pPr>
              <w:spacing w:after="0"/>
            </w:pPr>
            <w:r>
              <w:rPr>
                <w:sz w:val="18"/>
              </w:rPr>
              <w:t>Add items</w:t>
            </w:r>
          </w:p>
        </w:tc>
        <w:tc>
          <w:tcPr>
            <w:tcW w:type="dxa" w:w="1911"/>
            <w:shd w:val="clear" w:color="auto" w:fill="f1f5f9"/>
          </w:tcPr>
          <w:p>
            <w:pPr>
              <w:spacing w:after="0"/>
            </w:pPr>
            <w:r>
              <w:rPr>
                <w:sz w:val="18"/>
              </w:rPr>
              <w:t>No</w:t>
            </w:r>
          </w:p>
        </w:tc>
      </w:tr>
      <w:tr>
        <w:trPr>
          <w:cantSplit/>
        </w:trPr>
        <w:tc>
          <w:tcPr>
            <w:tcW w:type="dxa" w:w="4894"/>
          </w:tcPr>
          <w:p>
            <w:pPr>
              <w:spacing w:after="0"/>
            </w:pPr>
            <w:r>
              <w:rPr>
                <w:rFonts w:ascii="Consolas" w:hAnsi="Consolas"/>
                <w:sz w:val="16"/>
              </w:rPr>
              <w:t>scheduler_append_activity_note</w:t>
            </w:r>
            <w:r>
              <w:rPr>
                <w:sz w:val="18"/>
              </w:rPr>
              <w:t xml:space="preserve">, </w:t>
            </w:r>
            <w:r>
              <w:rPr>
                <w:rFonts w:ascii="Consolas" w:hAnsi="Consolas"/>
                <w:sz w:val="16"/>
              </w:rPr>
              <w:t>scheduler_bulk_append_notes</w:t>
            </w:r>
          </w:p>
        </w:tc>
        <w:tc>
          <w:tcPr>
            <w:tcW w:type="dxa" w:w="3563"/>
          </w:tcPr>
          <w:p>
            <w:pPr>
              <w:spacing w:after="0"/>
            </w:pPr>
            <w:r>
              <w:rPr>
                <w:sz w:val="18"/>
              </w:rPr>
              <w:t>Append to notes</w:t>
            </w:r>
          </w:p>
        </w:tc>
        <w:tc>
          <w:tcPr>
            <w:tcW w:type="dxa" w:w="1911"/>
          </w:tcPr>
          <w:p>
            <w:pPr>
              <w:spacing w:after="0"/>
            </w:pPr>
            <w:r>
              <w:rPr>
                <w:sz w:val="18"/>
              </w:rPr>
              <w:t>No</w:t>
            </w:r>
          </w:p>
        </w:tc>
      </w:tr>
      <w:tr>
        <w:trPr>
          <w:cantSplit/>
        </w:trPr>
        <w:tc>
          <w:tcPr>
            <w:tcW w:type="dxa" w:w="4894"/>
            <w:shd w:val="clear" w:color="auto" w:fill="f1f5f9"/>
          </w:tcPr>
          <w:p>
            <w:pPr>
              <w:spacing w:after="0"/>
            </w:pPr>
            <w:r>
              <w:rPr>
                <w:rFonts w:ascii="Consolas" w:hAnsi="Consolas"/>
                <w:sz w:val="16"/>
              </w:rPr>
              <w:t>scheduler_create_dependency</w:t>
            </w:r>
            <w:r>
              <w:rPr>
                <w:sz w:val="18"/>
              </w:rPr>
              <w:t xml:space="preserve">, </w:t>
            </w:r>
            <w:r>
              <w:rPr>
                <w:rFonts w:ascii="Consolas" w:hAnsi="Consolas"/>
                <w:sz w:val="16"/>
              </w:rPr>
              <w:t>scheduler_bulk_create_dependencies</w:t>
            </w:r>
          </w:p>
        </w:tc>
        <w:tc>
          <w:tcPr>
            <w:tcW w:type="dxa" w:w="3563"/>
            <w:shd w:val="clear" w:color="auto" w:fill="f1f5f9"/>
          </w:tcPr>
          <w:p>
            <w:pPr>
              <w:spacing w:after="0"/>
            </w:pPr>
            <w:r>
              <w:rPr>
                <w:sz w:val="18"/>
              </w:rPr>
              <w:t>Add dependency links (needs Read Mode)</w:t>
            </w:r>
          </w:p>
        </w:tc>
        <w:tc>
          <w:tcPr>
            <w:tcW w:type="dxa" w:w="1911"/>
            <w:shd w:val="clear" w:color="auto" w:fill="f1f5f9"/>
          </w:tcPr>
          <w:p>
            <w:pPr>
              <w:spacing w:after="0"/>
            </w:pPr>
            <w:r>
              <w:rPr>
                <w:sz w:val="18"/>
              </w:rPr>
              <w:t>No</w:t>
            </w:r>
          </w:p>
        </w:tc>
      </w:tr>
      <w:tr>
        <w:trPr>
          <w:cantSplit/>
        </w:trPr>
        <w:tc>
          <w:tcPr>
            <w:tcW w:type="dxa" w:w="4894"/>
          </w:tcPr>
          <w:p>
            <w:pPr>
              <w:spacing w:after="0"/>
            </w:pPr>
            <w:r>
              <w:rPr>
                <w:rFonts w:ascii="Consolas" w:hAnsi="Consolas"/>
                <w:sz w:val="16"/>
              </w:rPr>
              <w:t>scheduler_bulk_import</w:t>
            </w:r>
          </w:p>
        </w:tc>
        <w:tc>
          <w:tcPr>
            <w:tcW w:type="dxa" w:w="3563"/>
          </w:tcPr>
          <w:p>
            <w:pPr>
              <w:spacing w:after="0"/>
            </w:pPr>
            <w:r>
              <w:rPr>
                <w:sz w:val="18"/>
              </w:rPr>
              <w:t>Add activities, milestones, assignments and links in one call</w:t>
            </w:r>
          </w:p>
        </w:tc>
        <w:tc>
          <w:tcPr>
            <w:tcW w:type="dxa" w:w="1911"/>
          </w:tcPr>
          <w:p>
            <w:pPr>
              <w:spacing w:after="0"/>
            </w:pPr>
            <w:r>
              <w:rPr>
                <w:sz w:val="18"/>
              </w:rPr>
              <w:t>No</w:t>
            </w:r>
          </w:p>
        </w:tc>
      </w:tr>
      <w:tr>
        <w:trPr>
          <w:cantSplit/>
        </w:trPr>
        <w:tc>
          <w:tcPr>
            <w:tcW w:type="dxa" w:w="4894"/>
            <w:shd w:val="clear" w:color="auto" w:fill="f1f5f9"/>
          </w:tcPr>
          <w:p>
            <w:pPr>
              <w:spacing w:after="0"/>
            </w:pPr>
            <w:r>
              <w:rPr>
                <w:rFonts w:ascii="Consolas" w:hAnsi="Consolas"/>
                <w:sz w:val="16"/>
              </w:rPr>
              <w:t>scheduler_assign_milestone</w:t>
            </w:r>
            <w:r>
              <w:rPr>
                <w:sz w:val="18"/>
              </w:rPr>
              <w:t xml:space="preserve">, </w:t>
            </w:r>
            <w:r>
              <w:rPr>
                <w:rFonts w:ascii="Consolas" w:hAnsi="Consolas"/>
                <w:sz w:val="16"/>
              </w:rPr>
              <w:t>scheduler_bulk_assign_milestones</w:t>
            </w:r>
          </w:p>
        </w:tc>
        <w:tc>
          <w:tcPr>
            <w:tcW w:type="dxa" w:w="3563"/>
            <w:shd w:val="clear" w:color="auto" w:fill="f1f5f9"/>
          </w:tcPr>
          <w:p>
            <w:pPr>
              <w:spacing w:after="0"/>
            </w:pPr>
            <w:r>
              <w:rPr>
                <w:sz w:val="18"/>
              </w:rPr>
              <w:t>Assign activities to a milestone</w:t>
            </w:r>
          </w:p>
        </w:tc>
        <w:tc>
          <w:tcPr>
            <w:tcW w:type="dxa" w:w="1911"/>
            <w:shd w:val="clear" w:color="auto" w:fill="f1f5f9"/>
          </w:tcPr>
          <w:p>
            <w:pPr>
              <w:spacing w:after="0"/>
            </w:pPr>
            <w:r>
              <w:rPr>
                <w:sz w:val="18"/>
              </w:rPr>
              <w:t>Changes an assignment</w:t>
            </w:r>
          </w:p>
        </w:tc>
      </w:tr>
      <w:tr>
        <w:trPr>
          <w:cantSplit/>
        </w:trPr>
        <w:tc>
          <w:tcPr>
            <w:tcW w:type="dxa" w:w="4894"/>
          </w:tcPr>
          <w:p>
            <w:pPr>
              <w:spacing w:after="0"/>
            </w:pPr>
            <w:r>
              <w:rPr>
                <w:rFonts w:ascii="Consolas" w:hAnsi="Consolas"/>
                <w:sz w:val="16"/>
              </w:rPr>
              <w:t>scheduler_rename_activity</w:t>
            </w:r>
          </w:p>
        </w:tc>
        <w:tc>
          <w:tcPr>
            <w:tcW w:type="dxa" w:w="3563"/>
          </w:tcPr>
          <w:p>
            <w:pPr>
              <w:spacing w:after="0"/>
            </w:pPr>
            <w:r>
              <w:rPr>
                <w:sz w:val="18"/>
              </w:rPr>
              <w:t>Replace an activity name</w:t>
            </w:r>
          </w:p>
        </w:tc>
        <w:tc>
          <w:tcPr>
            <w:tcW w:type="dxa" w:w="1911"/>
          </w:tcPr>
          <w:p>
            <w:pPr>
              <w:spacing w:after="0"/>
            </w:pPr>
            <w:r>
              <w:rPr>
                <w:b/>
                <w:sz w:val="18"/>
              </w:rPr>
              <w:t>Overwrite</w:t>
            </w:r>
          </w:p>
        </w:tc>
      </w:tr>
      <w:tr>
        <w:trPr>
          <w:cantSplit/>
        </w:trPr>
        <w:tc>
          <w:tcPr>
            <w:tcW w:type="dxa" w:w="4894"/>
            <w:shd w:val="clear" w:color="auto" w:fill="f1f5f9"/>
          </w:tcPr>
          <w:p>
            <w:pPr>
              <w:spacing w:after="0"/>
            </w:pPr>
            <w:r>
              <w:rPr>
                <w:rFonts w:ascii="Consolas" w:hAnsi="Consolas"/>
                <w:sz w:val="16"/>
              </w:rPr>
              <w:t>scheduler_update_activity_estimate</w:t>
            </w:r>
          </w:p>
        </w:tc>
        <w:tc>
          <w:tcPr>
            <w:tcW w:type="dxa" w:w="3563"/>
            <w:shd w:val="clear" w:color="auto" w:fill="f1f5f9"/>
          </w:tcPr>
          <w:p>
            <w:pPr>
              <w:spacing w:after="0"/>
            </w:pPr>
            <w:r>
              <w:rPr>
                <w:sz w:val="18"/>
              </w:rPr>
              <w:t>Replace an estimate, confidence and distribution</w:t>
            </w:r>
          </w:p>
        </w:tc>
        <w:tc>
          <w:tcPr>
            <w:tcW w:type="dxa" w:w="1911"/>
            <w:shd w:val="clear" w:color="auto" w:fill="f1f5f9"/>
          </w:tcPr>
          <w:p>
            <w:pPr>
              <w:spacing w:after="0"/>
            </w:pPr>
            <w:r>
              <w:rPr>
                <w:b/>
                <w:sz w:val="18"/>
              </w:rPr>
              <w:t>Overwrite</w:t>
            </w:r>
          </w:p>
        </w:tc>
      </w:tr>
      <w:tr>
        <w:trPr>
          <w:cantSplit/>
        </w:trPr>
        <w:tc>
          <w:tcPr>
            <w:tcW w:type="dxa" w:w="4894"/>
          </w:tcPr>
          <w:p>
            <w:pPr>
              <w:spacing w:after="0"/>
            </w:pPr>
            <w:r>
              <w:rPr>
                <w:rFonts w:ascii="Consolas" w:hAnsi="Consolas"/>
                <w:sz w:val="16"/>
              </w:rPr>
              <w:t>scheduler_set_activity_description</w:t>
            </w:r>
          </w:p>
        </w:tc>
        <w:tc>
          <w:tcPr>
            <w:tcW w:type="dxa" w:w="3563"/>
          </w:tcPr>
          <w:p>
            <w:pPr>
              <w:spacing w:after="0"/>
            </w:pPr>
            <w:r>
              <w:rPr>
                <w:sz w:val="18"/>
              </w:rPr>
              <w:t>Replace a description; an empty value clears it</w:t>
            </w:r>
          </w:p>
        </w:tc>
        <w:tc>
          <w:tcPr>
            <w:tcW w:type="dxa" w:w="1911"/>
          </w:tcPr>
          <w:p>
            <w:pPr>
              <w:spacing w:after="0"/>
            </w:pPr>
            <w:r>
              <w:rPr>
                <w:b/>
                <w:sz w:val="18"/>
              </w:rPr>
              <w:t>Overwrite or clear</w:t>
            </w:r>
          </w:p>
        </w:tc>
      </w:tr>
      <w:tr>
        <w:trPr>
          <w:cantSplit/>
        </w:trPr>
        <w:tc>
          <w:tcPr>
            <w:tcW w:type="dxa" w:w="4894"/>
            <w:shd w:val="clear" w:color="auto" w:fill="f1f5f9"/>
          </w:tcPr>
          <w:p>
            <w:pPr>
              <w:spacing w:after="0"/>
            </w:pPr>
            <w:r>
              <w:rPr>
                <w:rFonts w:ascii="Consolas" w:hAnsi="Consolas"/>
                <w:sz w:val="16"/>
              </w:rPr>
              <w:t>scheduler_bulk_update_activities</w:t>
            </w:r>
          </w:p>
        </w:tc>
        <w:tc>
          <w:tcPr>
            <w:tcW w:type="dxa" w:w="3563"/>
            <w:shd w:val="clear" w:color="auto" w:fill="f1f5f9"/>
          </w:tcPr>
          <w:p>
            <w:pPr>
              <w:spacing w:after="0"/>
            </w:pPr>
            <w:r>
              <w:rPr>
                <w:sz w:val="18"/>
              </w:rPr>
              <w:t>Replace names, estimates and descriptions in bulk</w:t>
            </w:r>
          </w:p>
        </w:tc>
        <w:tc>
          <w:tcPr>
            <w:tcW w:type="dxa" w:w="1911"/>
            <w:shd w:val="clear" w:color="auto" w:fill="f1f5f9"/>
          </w:tcPr>
          <w:p>
            <w:pPr>
              <w:spacing w:after="0"/>
            </w:pPr>
            <w:r>
              <w:rPr>
                <w:b/>
                <w:sz w:val="18"/>
              </w:rPr>
              <w:t>Overwrite or clear</w:t>
            </w:r>
          </w:p>
        </w:tc>
      </w:tr>
      <w:tr>
        <w:trPr>
          <w:cantSplit/>
        </w:trPr>
        <w:tc>
          <w:tcPr>
            <w:tcW w:type="dxa" w:w="4894"/>
          </w:tcPr>
          <w:p>
            <w:pPr>
              <w:spacing w:after="0"/>
            </w:pPr>
            <w:r>
              <w:rPr>
                <w:rFonts w:ascii="Consolas" w:hAnsi="Consolas"/>
                <w:sz w:val="16"/>
              </w:rPr>
              <w:t>scheduler_update_milestone</w:t>
            </w:r>
          </w:p>
        </w:tc>
        <w:tc>
          <w:tcPr>
            <w:tcW w:type="dxa" w:w="3563"/>
          </w:tcPr>
          <w:p>
            <w:pPr>
              <w:spacing w:after="0"/>
            </w:pPr>
            <w:r>
              <w:rPr>
                <w:sz w:val="18"/>
              </w:rPr>
              <w:t>Replace a milestone name and target date</w:t>
            </w:r>
          </w:p>
        </w:tc>
        <w:tc>
          <w:tcPr>
            <w:tcW w:type="dxa" w:w="1911"/>
          </w:tcPr>
          <w:p>
            <w:pPr>
              <w:spacing w:after="0"/>
            </w:pPr>
            <w:r>
              <w:rPr>
                <w:b/>
                <w:sz w:val="18"/>
              </w:rPr>
              <w:t>Overwrite</w:t>
            </w:r>
          </w:p>
        </w:tc>
      </w:tr>
      <w:tr>
        <w:trPr>
          <w:cantSplit/>
        </w:trPr>
        <w:tc>
          <w:tcPr>
            <w:tcW w:type="dxa" w:w="4894"/>
            <w:shd w:val="clear" w:color="auto" w:fill="f1f5f9"/>
          </w:tcPr>
          <w:p>
            <w:pPr>
              <w:spacing w:after="0"/>
            </w:pPr>
            <w:r>
              <w:rPr>
                <w:rFonts w:ascii="Consolas" w:hAnsi="Consolas"/>
                <w:sz w:val="16"/>
              </w:rPr>
              <w:t>scheduler_unassign_milestone</w:t>
            </w:r>
          </w:p>
        </w:tc>
        <w:tc>
          <w:tcPr>
            <w:tcW w:type="dxa" w:w="3563"/>
            <w:shd w:val="clear" w:color="auto" w:fill="f1f5f9"/>
          </w:tcPr>
          <w:p>
            <w:pPr>
              <w:spacing w:after="0"/>
            </w:pPr>
            <w:r>
              <w:rPr>
                <w:sz w:val="18"/>
              </w:rPr>
              <w:t>Remove an activity's milestone assignment</w:t>
            </w:r>
          </w:p>
        </w:tc>
        <w:tc>
          <w:tcPr>
            <w:tcW w:type="dxa" w:w="1911"/>
            <w:shd w:val="clear" w:color="auto" w:fill="f1f5f9"/>
          </w:tcPr>
          <w:p>
            <w:pPr>
              <w:spacing w:after="0"/>
            </w:pPr>
            <w:r>
              <w:rPr>
                <w:b/>
                <w:sz w:val="18"/>
              </w:rPr>
              <w:t>Remove link</w:t>
            </w:r>
          </w:p>
        </w:tc>
      </w:tr>
      <w:tr>
        <w:trPr>
          <w:cantSplit/>
        </w:trPr>
        <w:tc>
          <w:tcPr>
            <w:tcW w:type="dxa" w:w="4894"/>
          </w:tcPr>
          <w:p>
            <w:pPr>
              <w:spacing w:after="0"/>
            </w:pPr>
            <w:r>
              <w:rPr>
                <w:rFonts w:ascii="Consolas" w:hAnsi="Consolas"/>
                <w:sz w:val="16"/>
              </w:rPr>
              <w:t>scheduler_update_dependency</w:t>
            </w:r>
          </w:p>
        </w:tc>
        <w:tc>
          <w:tcPr>
            <w:tcW w:type="dxa" w:w="3563"/>
          </w:tcPr>
          <w:p>
            <w:pPr>
              <w:spacing w:after="0"/>
            </w:pPr>
            <w:r>
              <w:rPr>
                <w:sz w:val="18"/>
              </w:rPr>
              <w:t>Replace a link's lag and type</w:t>
            </w:r>
          </w:p>
        </w:tc>
        <w:tc>
          <w:tcPr>
            <w:tcW w:type="dxa" w:w="1911"/>
          </w:tcPr>
          <w:p>
            <w:pPr>
              <w:spacing w:after="0"/>
            </w:pPr>
            <w:r>
              <w:rPr>
                <w:b/>
                <w:sz w:val="18"/>
              </w:rPr>
              <w:t>Overwrite</w:t>
            </w:r>
          </w:p>
        </w:tc>
      </w:tr>
      <w:tr>
        <w:trPr>
          <w:cantSplit/>
        </w:trPr>
        <w:tc>
          <w:tcPr>
            <w:tcW w:type="dxa" w:w="4894"/>
            <w:shd w:val="clear" w:color="auto" w:fill="f1f5f9"/>
          </w:tcPr>
          <w:p>
            <w:pPr>
              <w:spacing w:after="0"/>
            </w:pPr>
            <w:r>
              <w:rPr>
                <w:rFonts w:ascii="Consolas" w:hAnsi="Consolas"/>
                <w:sz w:val="16"/>
              </w:rPr>
              <w:t>scheduler_remove_dependency</w:t>
            </w:r>
          </w:p>
        </w:tc>
        <w:tc>
          <w:tcPr>
            <w:tcW w:type="dxa" w:w="3563"/>
            <w:shd w:val="clear" w:color="auto" w:fill="f1f5f9"/>
          </w:tcPr>
          <w:p>
            <w:pPr>
              <w:spacing w:after="0"/>
            </w:pPr>
            <w:r>
              <w:rPr>
                <w:sz w:val="18"/>
              </w:rPr>
              <w:t>Delete a dependency link</w:t>
            </w:r>
          </w:p>
        </w:tc>
        <w:tc>
          <w:tcPr>
            <w:tcW w:type="dxa" w:w="1911"/>
            <w:shd w:val="clear" w:color="auto" w:fill="f1f5f9"/>
          </w:tcPr>
          <w:p>
            <w:pPr>
              <w:spacing w:after="0"/>
            </w:pPr>
            <w:r>
              <w:rPr>
                <w:b/>
                <w:sz w:val="18"/>
              </w:rPr>
              <w:t>Delete</w:t>
            </w:r>
          </w:p>
        </w:tc>
      </w:tr>
      <w:tr>
        <w:trPr>
          <w:cantSplit/>
        </w:trPr>
        <w:tc>
          <w:tcPr>
            <w:tcW w:type="dxa" w:w="4894"/>
          </w:tcPr>
          <w:p>
            <w:pPr>
              <w:spacing w:after="0"/>
            </w:pPr>
            <w:r>
              <w:rPr>
                <w:rFonts w:ascii="Consolas" w:hAnsi="Consolas"/>
                <w:sz w:val="16"/>
              </w:rPr>
              <w:t>scheduler_toggle_checklist_item</w:t>
            </w:r>
            <w:r>
              <w:rPr>
                <w:sz w:val="18"/>
              </w:rPr>
              <w:t xml:space="preserve">, </w:t>
            </w:r>
            <w:r>
              <w:rPr>
                <w:rFonts w:ascii="Consolas" w:hAnsi="Consolas"/>
                <w:sz w:val="16"/>
              </w:rPr>
              <w:t>scheduler_toggle_deliverable_item</w:t>
            </w:r>
          </w:p>
        </w:tc>
        <w:tc>
          <w:tcPr>
            <w:tcW w:type="dxa" w:w="3563"/>
          </w:tcPr>
          <w:p>
            <w:pPr>
              <w:spacing w:after="0"/>
            </w:pPr>
            <w:r>
              <w:rPr>
                <w:sz w:val="18"/>
              </w:rPr>
              <w:t>Change completed state</w:t>
            </w:r>
          </w:p>
        </w:tc>
        <w:tc>
          <w:tcPr>
            <w:tcW w:type="dxa" w:w="1911"/>
          </w:tcPr>
          <w:p>
            <w:pPr>
              <w:spacing w:after="0"/>
            </w:pPr>
            <w:r>
              <w:rPr>
                <w:b/>
                <w:sz w:val="18"/>
              </w:rPr>
              <w:t>Overwrite (state)</w:t>
            </w:r>
          </w:p>
        </w:tc>
      </w:tr>
      <w:tr>
        <w:trPr>
          <w:cantSplit/>
        </w:trPr>
        <w:tc>
          <w:tcPr>
            <w:tcW w:type="dxa" w:w="4894"/>
            <w:shd w:val="clear" w:color="auto" w:fill="f1f5f9"/>
          </w:tcPr>
          <w:p>
            <w:pPr>
              <w:spacing w:after="0"/>
            </w:pPr>
            <w:r>
              <w:rPr>
                <w:rFonts w:ascii="Consolas" w:hAnsi="Consolas"/>
                <w:sz w:val="16"/>
              </w:rPr>
              <w:t>scheduler_reorder_activities</w:t>
            </w:r>
          </w:p>
        </w:tc>
        <w:tc>
          <w:tcPr>
            <w:tcW w:type="dxa" w:w="3563"/>
            <w:shd w:val="clear" w:color="auto" w:fill="f1f5f9"/>
          </w:tcPr>
          <w:p>
            <w:pPr>
              <w:spacing w:after="0"/>
            </w:pPr>
            <w:r>
              <w:rPr>
                <w:sz w:val="18"/>
              </w:rPr>
              <w:t>Reorder activities, which can move dates</w:t>
            </w:r>
          </w:p>
        </w:tc>
        <w:tc>
          <w:tcPr>
            <w:tcW w:type="dxa" w:w="1911"/>
            <w:shd w:val="clear" w:color="auto" w:fill="f1f5f9"/>
          </w:tcPr>
          <w:p>
            <w:pPr>
              <w:spacing w:after="0"/>
            </w:pPr>
            <w:r>
              <w:rPr>
                <w:b/>
                <w:sz w:val="18"/>
              </w:rPr>
              <w:t>Overwrite (order, dates)</w:t>
            </w:r>
          </w:p>
        </w:tc>
      </w:tr>
    </w:tbl>
    <w:p>
      <w:pPr>
        <w:spacing w:after="40"/>
      </w:pPr>
    </w:p>
    <w:p>
      <w:r>
        <w:rPr>
          <w:b/>
        </w:rPr>
        <w:t>SPERT</w:t>
      </w:r>
      <w:r>
        <w:rPr>
          <w:b/>
          <w:vertAlign w:val="superscript"/>
        </w:rPr>
        <w:t>®</w:t>
      </w:r>
      <w:r>
        <w:rPr>
          <w:b/>
        </w:rPr>
        <w:t xml:space="preserve"> Story Map (21):</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4549"/>
        <w:gridCol w:w="3656"/>
        <w:gridCol w:w="2163"/>
      </w:tblGrid>
      <w:tr>
        <w:trPr>
          <w:cantSplit/>
          <w:tblHeader w:val="true"/>
        </w:trPr>
        <w:tc>
          <w:tcPr>
            <w:tcW w:type="dxa" w:w="4549"/>
            <w:shd w:val="clear" w:color="auto" w:fill="1d4ed8"/>
          </w:tcPr>
          <w:p>
            <w:pPr>
              <w:spacing w:after="0"/>
            </w:pPr>
            <w:r>
              <w:rPr>
                <w:b/>
                <w:color w:val="FFFFFF"/>
                <w:sz w:val="18"/>
              </w:rPr>
              <w:t>Tool</w:t>
            </w:r>
          </w:p>
        </w:tc>
        <w:tc>
          <w:tcPr>
            <w:tcW w:type="dxa" w:w="3656"/>
            <w:shd w:val="clear" w:color="auto" w:fill="1d4ed8"/>
          </w:tcPr>
          <w:p>
            <w:pPr>
              <w:spacing w:after="0"/>
            </w:pPr>
            <w:r>
              <w:rPr>
                <w:b/>
                <w:color w:val="FFFFFF"/>
                <w:sz w:val="18"/>
              </w:rPr>
              <w:t>Effect</w:t>
            </w:r>
          </w:p>
        </w:tc>
        <w:tc>
          <w:tcPr>
            <w:tcW w:type="dxa" w:w="2163"/>
            <w:shd w:val="clear" w:color="auto" w:fill="1d4ed8"/>
          </w:tcPr>
          <w:p>
            <w:pPr>
              <w:spacing w:after="0"/>
            </w:pPr>
            <w:r>
              <w:rPr>
                <w:b/>
                <w:color w:val="FFFFFF"/>
                <w:sz w:val="18"/>
              </w:rPr>
              <w:t>Destructive?</w:t>
            </w:r>
          </w:p>
        </w:tc>
      </w:tr>
      <w:tr>
        <w:trPr>
          <w:cantSplit/>
        </w:trPr>
        <w:tc>
          <w:tcPr>
            <w:tcW w:type="dxa" w:w="4549"/>
          </w:tcPr>
          <w:p>
            <w:pPr>
              <w:spacing w:after="0"/>
            </w:pPr>
            <w:r>
              <w:rPr>
                <w:rFonts w:ascii="Consolas" w:hAnsi="Consolas"/>
                <w:sz w:val="16"/>
              </w:rPr>
              <w:t>storymap_get_project</w:t>
            </w:r>
          </w:p>
        </w:tc>
        <w:tc>
          <w:tcPr>
            <w:tcW w:type="dxa" w:w="3656"/>
          </w:tcPr>
          <w:p>
            <w:pPr>
              <w:spacing w:after="0"/>
            </w:pPr>
            <w:r>
              <w:rPr>
                <w:sz w:val="18"/>
              </w:rPr>
              <w:t>Read the project (Read Mode)</w:t>
            </w:r>
          </w:p>
        </w:tc>
        <w:tc>
          <w:tcPr>
            <w:tcW w:type="dxa" w:w="2163"/>
          </w:tcPr>
          <w:p>
            <w:pPr>
              <w:spacing w:after="0"/>
            </w:pPr>
            <w:r>
              <w:rPr>
                <w:sz w:val="18"/>
              </w:rPr>
              <w:t>No</w:t>
            </w:r>
          </w:p>
        </w:tc>
      </w:tr>
      <w:tr>
        <w:trPr>
          <w:cantSplit/>
        </w:trPr>
        <w:tc>
          <w:tcPr>
            <w:tcW w:type="dxa" w:w="4549"/>
            <w:shd w:val="clear" w:color="auto" w:fill="f1f5f9"/>
          </w:tcPr>
          <w:p>
            <w:pPr>
              <w:spacing w:after="0"/>
            </w:pPr>
            <w:r>
              <w:rPr>
                <w:rFonts w:ascii="Consolas" w:hAnsi="Consolas"/>
                <w:sz w:val="16"/>
              </w:rPr>
              <w:t>storymap_bulk_import</w:t>
            </w:r>
          </w:p>
        </w:tc>
        <w:tc>
          <w:tcPr>
            <w:tcW w:type="dxa" w:w="3656"/>
            <w:shd w:val="clear" w:color="auto" w:fill="f1f5f9"/>
          </w:tcPr>
          <w:p>
            <w:pPr>
              <w:spacing w:after="0"/>
            </w:pPr>
            <w:r>
              <w:rPr>
                <w:sz w:val="18"/>
              </w:rPr>
              <w:t>Add themes, backbones and ribs</w:t>
            </w:r>
          </w:p>
        </w:tc>
        <w:tc>
          <w:tcPr>
            <w:tcW w:type="dxa" w:w="2163"/>
            <w:shd w:val="clear" w:color="auto" w:fill="f1f5f9"/>
          </w:tcPr>
          <w:p>
            <w:pPr>
              <w:spacing w:after="0"/>
            </w:pPr>
            <w:r>
              <w:rPr>
                <w:sz w:val="18"/>
              </w:rPr>
              <w:t>No</w:t>
            </w:r>
          </w:p>
        </w:tc>
      </w:tr>
      <w:tr>
        <w:trPr>
          <w:cantSplit/>
        </w:trPr>
        <w:tc>
          <w:tcPr>
            <w:tcW w:type="dxa" w:w="4549"/>
          </w:tcPr>
          <w:p>
            <w:pPr>
              <w:spacing w:after="0"/>
            </w:pPr>
            <w:r>
              <w:rPr>
                <w:rFonts w:ascii="Consolas" w:hAnsi="Consolas"/>
                <w:sz w:val="16"/>
              </w:rPr>
              <w:t>storymap_create_theme</w:t>
            </w:r>
            <w:r>
              <w:rPr>
                <w:sz w:val="18"/>
              </w:rPr>
              <w:t xml:space="preserve">, </w:t>
            </w:r>
            <w:r>
              <w:rPr>
                <w:rFonts w:ascii="Consolas" w:hAnsi="Consolas"/>
                <w:sz w:val="16"/>
              </w:rPr>
              <w:t>storymap_create_backbone</w:t>
            </w:r>
            <w:r>
              <w:rPr>
                <w:sz w:val="18"/>
              </w:rPr>
              <w:t xml:space="preserve">, </w:t>
            </w:r>
            <w:r>
              <w:rPr>
                <w:rFonts w:ascii="Consolas" w:hAnsi="Consolas"/>
                <w:sz w:val="16"/>
              </w:rPr>
              <w:t>storymap_create_rib</w:t>
            </w:r>
            <w:r>
              <w:rPr>
                <w:sz w:val="18"/>
              </w:rPr>
              <w:t xml:space="preserve">, </w:t>
            </w:r>
            <w:r>
              <w:rPr>
                <w:rFonts w:ascii="Consolas" w:hAnsi="Consolas"/>
                <w:sz w:val="16"/>
              </w:rPr>
              <w:t>storymap_create_release</w:t>
            </w:r>
            <w:r>
              <w:rPr>
                <w:sz w:val="18"/>
              </w:rPr>
              <w:t xml:space="preserve">, </w:t>
            </w:r>
            <w:r>
              <w:rPr>
                <w:rFonts w:ascii="Consolas" w:hAnsi="Consolas"/>
                <w:sz w:val="16"/>
              </w:rPr>
              <w:t>storymap_bulk_create_releases</w:t>
            </w:r>
          </w:p>
        </w:tc>
        <w:tc>
          <w:tcPr>
            <w:tcW w:type="dxa" w:w="3656"/>
          </w:tcPr>
          <w:p>
            <w:pPr>
              <w:spacing w:after="0"/>
            </w:pPr>
            <w:r>
              <w:rPr>
                <w:sz w:val="18"/>
              </w:rPr>
              <w:t>Add items</w:t>
            </w:r>
          </w:p>
        </w:tc>
        <w:tc>
          <w:tcPr>
            <w:tcW w:type="dxa" w:w="2163"/>
          </w:tcPr>
          <w:p>
            <w:pPr>
              <w:spacing w:after="0"/>
            </w:pPr>
            <w:r>
              <w:rPr>
                <w:sz w:val="18"/>
              </w:rPr>
              <w:t>No</w:t>
            </w:r>
          </w:p>
        </w:tc>
      </w:tr>
      <w:tr>
        <w:trPr>
          <w:cantSplit/>
        </w:trPr>
        <w:tc>
          <w:tcPr>
            <w:tcW w:type="dxa" w:w="4549"/>
            <w:shd w:val="clear" w:color="auto" w:fill="f1f5f9"/>
          </w:tcPr>
          <w:p>
            <w:pPr>
              <w:spacing w:after="0"/>
            </w:pPr>
            <w:r>
              <w:rPr>
                <w:rFonts w:ascii="Consolas" w:hAnsi="Consolas"/>
                <w:sz w:val="16"/>
              </w:rPr>
              <w:t>storymap_append_rib_note</w:t>
            </w:r>
            <w:r>
              <w:rPr>
                <w:sz w:val="18"/>
              </w:rPr>
              <w:t xml:space="preserve">, </w:t>
            </w:r>
            <w:r>
              <w:rPr>
                <w:rFonts w:ascii="Consolas" w:hAnsi="Consolas"/>
                <w:sz w:val="16"/>
              </w:rPr>
              <w:t>storymap_bulk_append_rib_notes</w:t>
            </w:r>
          </w:p>
        </w:tc>
        <w:tc>
          <w:tcPr>
            <w:tcW w:type="dxa" w:w="3656"/>
            <w:shd w:val="clear" w:color="auto" w:fill="f1f5f9"/>
          </w:tcPr>
          <w:p>
            <w:pPr>
              <w:spacing w:after="0"/>
            </w:pPr>
            <w:r>
              <w:rPr>
                <w:sz w:val="18"/>
              </w:rPr>
              <w:t>Append to notes</w:t>
            </w:r>
          </w:p>
        </w:tc>
        <w:tc>
          <w:tcPr>
            <w:tcW w:type="dxa" w:w="2163"/>
            <w:shd w:val="clear" w:color="auto" w:fill="f1f5f9"/>
          </w:tcPr>
          <w:p>
            <w:pPr>
              <w:spacing w:after="0"/>
            </w:pPr>
            <w:r>
              <w:rPr>
                <w:sz w:val="18"/>
              </w:rPr>
              <w:t>No</w:t>
            </w:r>
          </w:p>
        </w:tc>
      </w:tr>
      <w:tr>
        <w:trPr>
          <w:cantSplit/>
        </w:trPr>
        <w:tc>
          <w:tcPr>
            <w:tcW w:type="dxa" w:w="4549"/>
          </w:tcPr>
          <w:p>
            <w:pPr>
              <w:spacing w:after="0"/>
            </w:pPr>
            <w:r>
              <w:rPr>
                <w:rFonts w:ascii="Consolas" w:hAnsi="Consolas"/>
                <w:sz w:val="16"/>
              </w:rPr>
              <w:t>storymap_size_rib</w:t>
            </w:r>
            <w:r>
              <w:rPr>
                <w:sz w:val="18"/>
              </w:rPr>
              <w:t xml:space="preserve">, </w:t>
            </w:r>
            <w:r>
              <w:rPr>
                <w:rFonts w:ascii="Consolas" w:hAnsi="Consolas"/>
                <w:sz w:val="16"/>
              </w:rPr>
              <w:t>storymap_bulk_size</w:t>
            </w:r>
          </w:p>
        </w:tc>
        <w:tc>
          <w:tcPr>
            <w:tcW w:type="dxa" w:w="3656"/>
          </w:tcPr>
          <w:p>
            <w:pPr>
              <w:spacing w:after="0"/>
            </w:pPr>
            <w:r>
              <w:rPr>
                <w:sz w:val="18"/>
              </w:rPr>
              <w:t>Size unsized ribs only</w:t>
            </w:r>
          </w:p>
        </w:tc>
        <w:tc>
          <w:tcPr>
            <w:tcW w:type="dxa" w:w="2163"/>
          </w:tcPr>
          <w:p>
            <w:pPr>
              <w:spacing w:after="0"/>
            </w:pPr>
            <w:r>
              <w:rPr>
                <w:sz w:val="18"/>
              </w:rPr>
              <w:t>No</w:t>
            </w:r>
          </w:p>
        </w:tc>
      </w:tr>
      <w:tr>
        <w:trPr>
          <w:cantSplit/>
        </w:trPr>
        <w:tc>
          <w:tcPr>
            <w:tcW w:type="dxa" w:w="4549"/>
            <w:shd w:val="clear" w:color="auto" w:fill="f1f5f9"/>
          </w:tcPr>
          <w:p>
            <w:pPr>
              <w:spacing w:after="0"/>
            </w:pPr>
            <w:r>
              <w:rPr>
                <w:rFonts w:ascii="Consolas" w:hAnsi="Consolas"/>
                <w:sz w:val="16"/>
              </w:rPr>
              <w:t>storymap_allocate_rib</w:t>
            </w:r>
            <w:r>
              <w:rPr>
                <w:sz w:val="18"/>
              </w:rPr>
              <w:t xml:space="preserve">, </w:t>
            </w:r>
            <w:r>
              <w:rPr>
                <w:rFonts w:ascii="Consolas" w:hAnsi="Consolas"/>
                <w:sz w:val="16"/>
              </w:rPr>
              <w:t>storymap_bulk_allocate</w:t>
            </w:r>
          </w:p>
        </w:tc>
        <w:tc>
          <w:tcPr>
            <w:tcW w:type="dxa" w:w="3656"/>
            <w:shd w:val="clear" w:color="auto" w:fill="f1f5f9"/>
          </w:tcPr>
          <w:p>
            <w:pPr>
              <w:spacing w:after="0"/>
            </w:pPr>
            <w:r>
              <w:rPr>
                <w:sz w:val="18"/>
              </w:rPr>
              <w:t>Allocate a rib to a release</w:t>
            </w:r>
          </w:p>
        </w:tc>
        <w:tc>
          <w:tcPr>
            <w:tcW w:type="dxa" w:w="2163"/>
            <w:shd w:val="clear" w:color="auto" w:fill="f1f5f9"/>
          </w:tcPr>
          <w:p>
            <w:pPr>
              <w:spacing w:after="0"/>
            </w:pPr>
            <w:r>
              <w:rPr>
                <w:sz w:val="18"/>
              </w:rPr>
              <w:t>Changes an allocation</w:t>
            </w:r>
          </w:p>
        </w:tc>
      </w:tr>
      <w:tr>
        <w:trPr>
          <w:cantSplit/>
        </w:trPr>
        <w:tc>
          <w:tcPr>
            <w:tcW w:type="dxa" w:w="4549"/>
          </w:tcPr>
          <w:p>
            <w:pPr>
              <w:spacing w:after="0"/>
            </w:pPr>
            <w:r>
              <w:rPr>
                <w:rFonts w:ascii="Consolas" w:hAnsi="Consolas"/>
                <w:sz w:val="16"/>
              </w:rPr>
              <w:t>storymap_update_theme</w:t>
            </w:r>
          </w:p>
        </w:tc>
        <w:tc>
          <w:tcPr>
            <w:tcW w:type="dxa" w:w="3656"/>
          </w:tcPr>
          <w:p>
            <w:pPr>
              <w:spacing w:after="0"/>
            </w:pPr>
            <w:r>
              <w:rPr>
                <w:sz w:val="18"/>
              </w:rPr>
              <w:t>Rename a theme</w:t>
            </w:r>
          </w:p>
        </w:tc>
        <w:tc>
          <w:tcPr>
            <w:tcW w:type="dxa" w:w="2163"/>
          </w:tcPr>
          <w:p>
            <w:pPr>
              <w:spacing w:after="0"/>
            </w:pPr>
            <w:r>
              <w:rPr>
                <w:b/>
                <w:sz w:val="18"/>
              </w:rPr>
              <w:t>Overwrite</w:t>
            </w:r>
          </w:p>
        </w:tc>
      </w:tr>
      <w:tr>
        <w:trPr>
          <w:cantSplit/>
        </w:trPr>
        <w:tc>
          <w:tcPr>
            <w:tcW w:type="dxa" w:w="4549"/>
            <w:shd w:val="clear" w:color="auto" w:fill="f1f5f9"/>
          </w:tcPr>
          <w:p>
            <w:pPr>
              <w:spacing w:after="0"/>
            </w:pPr>
            <w:r>
              <w:rPr>
                <w:rFonts w:ascii="Consolas" w:hAnsi="Consolas"/>
                <w:sz w:val="16"/>
              </w:rPr>
              <w:t>storymap_update_backbone</w:t>
            </w:r>
          </w:p>
        </w:tc>
        <w:tc>
          <w:tcPr>
            <w:tcW w:type="dxa" w:w="3656"/>
            <w:shd w:val="clear" w:color="auto" w:fill="f1f5f9"/>
          </w:tcPr>
          <w:p>
            <w:pPr>
              <w:spacing w:after="0"/>
            </w:pPr>
            <w:r>
              <w:rPr>
                <w:sz w:val="18"/>
              </w:rPr>
              <w:t>Replace a name or description; an empty value clears it</w:t>
            </w:r>
          </w:p>
        </w:tc>
        <w:tc>
          <w:tcPr>
            <w:tcW w:type="dxa" w:w="2163"/>
            <w:shd w:val="clear" w:color="auto" w:fill="f1f5f9"/>
          </w:tcPr>
          <w:p>
            <w:pPr>
              <w:spacing w:after="0"/>
            </w:pPr>
            <w:r>
              <w:rPr>
                <w:b/>
                <w:sz w:val="18"/>
              </w:rPr>
              <w:t>Overwrite or clear</w:t>
            </w:r>
          </w:p>
        </w:tc>
      </w:tr>
      <w:tr>
        <w:trPr>
          <w:cantSplit/>
        </w:trPr>
        <w:tc>
          <w:tcPr>
            <w:tcW w:type="dxa" w:w="4549"/>
          </w:tcPr>
          <w:p>
            <w:pPr>
              <w:spacing w:after="0"/>
            </w:pPr>
            <w:r>
              <w:rPr>
                <w:rFonts w:ascii="Consolas" w:hAnsi="Consolas"/>
                <w:sz w:val="16"/>
              </w:rPr>
              <w:t>storymap_update_rib</w:t>
            </w:r>
          </w:p>
        </w:tc>
        <w:tc>
          <w:tcPr>
            <w:tcW w:type="dxa" w:w="3656"/>
          </w:tcPr>
          <w:p>
            <w:pPr>
              <w:spacing w:after="0"/>
            </w:pPr>
            <w:r>
              <w:rPr>
                <w:sz w:val="18"/>
              </w:rPr>
              <w:t>Replace a name, description, category or notes; can override or clear a size</w:t>
            </w:r>
          </w:p>
        </w:tc>
        <w:tc>
          <w:tcPr>
            <w:tcW w:type="dxa" w:w="2163"/>
          </w:tcPr>
          <w:p>
            <w:pPr>
              <w:spacing w:after="0"/>
            </w:pPr>
            <w:r>
              <w:rPr>
                <w:b/>
                <w:sz w:val="18"/>
              </w:rPr>
              <w:t>Overwrite or clear</w:t>
            </w:r>
          </w:p>
        </w:tc>
      </w:tr>
      <w:tr>
        <w:trPr>
          <w:cantSplit/>
        </w:trPr>
        <w:tc>
          <w:tcPr>
            <w:tcW w:type="dxa" w:w="4549"/>
            <w:shd w:val="clear" w:color="auto" w:fill="f1f5f9"/>
          </w:tcPr>
          <w:p>
            <w:pPr>
              <w:spacing w:after="0"/>
            </w:pPr>
            <w:r>
              <w:rPr>
                <w:rFonts w:ascii="Consolas" w:hAnsi="Consolas"/>
                <w:sz w:val="16"/>
              </w:rPr>
              <w:t>storymap_bulk_update_ribs</w:t>
            </w:r>
          </w:p>
        </w:tc>
        <w:tc>
          <w:tcPr>
            <w:tcW w:type="dxa" w:w="3656"/>
            <w:shd w:val="clear" w:color="auto" w:fill="f1f5f9"/>
          </w:tcPr>
          <w:p>
            <w:pPr>
              <w:spacing w:after="0"/>
            </w:pPr>
            <w:r>
              <w:rPr>
                <w:sz w:val="18"/>
              </w:rPr>
              <w:t>Replace descriptions, categories or notes in bulk</w:t>
            </w:r>
          </w:p>
        </w:tc>
        <w:tc>
          <w:tcPr>
            <w:tcW w:type="dxa" w:w="2163"/>
            <w:shd w:val="clear" w:color="auto" w:fill="f1f5f9"/>
          </w:tcPr>
          <w:p>
            <w:pPr>
              <w:spacing w:after="0"/>
            </w:pPr>
            <w:r>
              <w:rPr>
                <w:b/>
                <w:sz w:val="18"/>
              </w:rPr>
              <w:t>Overwrite or clear</w:t>
            </w:r>
          </w:p>
        </w:tc>
      </w:tr>
      <w:tr>
        <w:trPr>
          <w:cantSplit/>
        </w:trPr>
        <w:tc>
          <w:tcPr>
            <w:tcW w:type="dxa" w:w="4549"/>
          </w:tcPr>
          <w:p>
            <w:pPr>
              <w:spacing w:after="0"/>
            </w:pPr>
            <w:r>
              <w:rPr>
                <w:rFonts w:ascii="Consolas" w:hAnsi="Consolas"/>
                <w:sz w:val="16"/>
              </w:rPr>
              <w:t>storymap_unassign_rib</w:t>
            </w:r>
            <w:r>
              <w:rPr>
                <w:sz w:val="18"/>
              </w:rPr>
              <w:t xml:space="preserve">, </w:t>
            </w:r>
            <w:r>
              <w:rPr>
                <w:rFonts w:ascii="Consolas" w:hAnsi="Consolas"/>
                <w:sz w:val="16"/>
              </w:rPr>
              <w:t>storymap_bulk_unassign</w:t>
            </w:r>
          </w:p>
        </w:tc>
        <w:tc>
          <w:tcPr>
            <w:tcW w:type="dxa" w:w="3656"/>
          </w:tcPr>
          <w:p>
            <w:pPr>
              <w:spacing w:after="0"/>
            </w:pPr>
            <w:r>
              <w:rPr>
                <w:sz w:val="18"/>
              </w:rPr>
              <w:t>Remove release allocations</w:t>
            </w:r>
          </w:p>
        </w:tc>
        <w:tc>
          <w:tcPr>
            <w:tcW w:type="dxa" w:w="2163"/>
          </w:tcPr>
          <w:p>
            <w:pPr>
              <w:spacing w:after="0"/>
            </w:pPr>
            <w:r>
              <w:rPr>
                <w:b/>
                <w:sz w:val="18"/>
              </w:rPr>
              <w:t>Remove links</w:t>
            </w:r>
          </w:p>
        </w:tc>
      </w:tr>
      <w:tr>
        <w:trPr>
          <w:cantSplit/>
        </w:trPr>
        <w:tc>
          <w:tcPr>
            <w:tcW w:type="dxa" w:w="4549"/>
            <w:shd w:val="clear" w:color="auto" w:fill="f1f5f9"/>
          </w:tcPr>
          <w:p>
            <w:pPr>
              <w:spacing w:after="0"/>
            </w:pPr>
            <w:r>
              <w:rPr>
                <w:rFonts w:ascii="Consolas" w:hAnsi="Consolas"/>
                <w:sz w:val="16"/>
              </w:rPr>
              <w:t>storymap_move_rib</w:t>
            </w:r>
            <w:r>
              <w:rPr>
                <w:sz w:val="18"/>
              </w:rPr>
              <w:t xml:space="preserve">, </w:t>
            </w:r>
            <w:r>
              <w:rPr>
                <w:rFonts w:ascii="Consolas" w:hAnsi="Consolas"/>
                <w:sz w:val="16"/>
              </w:rPr>
              <w:t>storymap_bulk_move_ribs</w:t>
            </w:r>
          </w:p>
        </w:tc>
        <w:tc>
          <w:tcPr>
            <w:tcW w:type="dxa" w:w="3656"/>
            <w:shd w:val="clear" w:color="auto" w:fill="f1f5f9"/>
          </w:tcPr>
          <w:p>
            <w:pPr>
              <w:spacing w:after="0"/>
            </w:pPr>
            <w:r>
              <w:rPr>
                <w:sz w:val="18"/>
              </w:rPr>
              <w:t>Move ribs to another backbone and replace their allocation</w:t>
            </w:r>
          </w:p>
        </w:tc>
        <w:tc>
          <w:tcPr>
            <w:tcW w:type="dxa" w:w="2163"/>
            <w:shd w:val="clear" w:color="auto" w:fill="f1f5f9"/>
          </w:tcPr>
          <w:p>
            <w:pPr>
              <w:spacing w:after="0"/>
            </w:pPr>
            <w:r>
              <w:rPr>
                <w:b/>
                <w:sz w:val="18"/>
              </w:rPr>
              <w:t>Overwrite (location, allocation)</w:t>
            </w:r>
          </w:p>
        </w:tc>
      </w:tr>
    </w:tbl>
    <w:p>
      <w:pPr>
        <w:spacing w:after="40"/>
      </w:pPr>
    </w:p>
    <w:sectPr w:rsidR="00FC693F" w:rsidRPr="0006063C" w:rsidSect="00034616">
      <w:footerReference w:type="default" r:id="rId18"/>
      <w:pgSz w:w="12240" w:h="15840"/>
      <w:pgMar w:top="1008" w:right="936" w:bottom="1008"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75569"/>
        <w:sz w:val="16"/>
      </w:rPr>
      <w:t>SPERT</w:t>
    </w:r>
    <w:r>
      <w:rPr>
        <w:color w:val="475569"/>
        <w:sz w:val="16"/>
        <w:vertAlign w:val="superscript"/>
      </w:rPr>
      <w:t>®</w:t>
    </w:r>
    <w:r>
      <w:rPr>
        <w:color w:val="475569"/>
        <w:sz w:val="16"/>
      </w:rPr>
      <w:t xml:space="preserve"> Suite Approval Kit v1.0.0 · Data Flow Diagram and AI Connectivity · Page </w:t>
    </w:r>
    <w:r>
      <w:rPr>
        <w:color w:val="475569"/>
        <w:sz w:val="16"/>
      </w:rPr>
      <w:fldChar w:fldCharType="begin"/>
    </w:r>
    <w:r>
      <w:rPr>
        <w:color w:val="475569"/>
        <w:sz w:val="16"/>
      </w:rPr>
      <w:instrText xml:space="preserve">PAGE</w:instrText>
    </w:r>
    <w:r>
      <w:rPr>
        <w:color w:val="475569"/>
        <w:sz w:val="16"/>
      </w:rPr>
      <w:fldChar w:fldCharType="end"/>
    </w:r>
    <w:r>
      <w:rPr>
        <w:color w:val="475569"/>
        <w:sz w:val="16"/>
      </w:rPr>
      <w:t xml:space="preserve"> · </w:t>
    </w:r>
    <w:hyperlink r:id="rId1">
      <w:r>
        <w:rPr>
          <w:color w:val="1d4ed8"/>
          <w:sz w:val="16"/>
          <w:u w:val="single"/>
        </w:rPr>
        <w:t xml:space="preserve">spertsuite.com/approval-kit</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00">
    <w:multiLevelType w:val="hybridMultilevel"/>
    <w:lvl w:ilvl="0">
      <w:start w:val="1"/>
      <w:numFmt w:val="bullet"/>
      <w:lvlText w:val="—"/>
      <w:lvlJc w:val="left"/>
      <w:pPr>
        <w:ind w:left="360" w:hanging="300"/>
      </w:pPr>
      <w:rPr>
        <w:rFonts w:ascii="Arial" w:hAnsi="Arial" w:cs="Arial"/>
      </w:rPr>
    </w:lvl>
    <w:lvl w:ilvl="1">
      <w:start w:val="1"/>
      <w:numFmt w:val="bullet"/>
      <w:lvlText w:val="—"/>
      <w:lvlJc w:val="left"/>
      <w:pPr>
        <w:ind w:left="720" w:hanging="300"/>
      </w:pPr>
      <w:rPr>
        <w:rFonts w:ascii="Arial" w:hAnsi="Arial" w:cs="Arial"/>
      </w:rPr>
    </w:lvl>
    <w:lvl w:ilvl="2">
      <w:start w:val="1"/>
      <w:numFmt w:val="bullet"/>
      <w:lvlText w:val="—"/>
      <w:lvlJc w:val="left"/>
      <w:pPr>
        <w:ind w:left="1080" w:hanging="300"/>
      </w:pPr>
      <w:rPr>
        <w:rFonts w:ascii="Arial" w:hAnsi="Arial" w:cs="Arial"/>
      </w:rPr>
    </w:lvl>
  </w:abstractNum>
  <w:abstractNum w:abstractNumId="9001">
    <w:multiLevelType w:val="hybridMultilevel"/>
    <w:lvl w:ilvl="0">
      <w:start w:val="1"/>
      <w:numFmt w:val="decimal"/>
      <w:lvlText w:val="%1."/>
      <w:lvlJc w:val="left"/>
      <w:pPr>
        <w:ind w:left="360" w:hanging="300"/>
      </w:pPr>
    </w:lvl>
    <w:lvl w:ilvl="1">
      <w:start w:val="1"/>
      <w:numFmt w:val="decimal"/>
      <w:lvlText w:val="%2."/>
      <w:lvlJc w:val="left"/>
      <w:pPr>
        <w:ind w:left="720" w:hanging="300"/>
      </w:pPr>
    </w:lvl>
    <w:lvl w:ilvl="2">
      <w:start w:val="1"/>
      <w:numFmt w:val="decimal"/>
      <w:lvlText w:val="%3."/>
      <w:lvlJc w:val="left"/>
      <w:pPr>
        <w:ind w:left="1080" w:hanging="30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00">
    <w:abstractNumId w:val="9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olor w:val="1E29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w:b/>
      <w:bCs/>
      <w:i w:val="0"/>
      <w:color w:val="1D4ED8"/>
      <w:sz w:val="26"/>
      <w:szCs w:val="28"/>
    </w:rPr>
  </w:style>
  <w:style w:type="paragraph" w:styleId="Heading2">
    <w:name w:val="heading 2"/>
    <w:basedOn w:val="Normal"/>
    <w:next w:val="Normal"/>
    <w:link w:val="Heading2Char"/>
    <w:uiPriority w:val="9"/>
    <w:unhideWhenUsed/>
    <w:qFormat/>
    <w:rsid w:val="00FC693F"/>
    <w:pPr>
      <w:keepNext/>
      <w:keepLines/>
      <w:shd w:val="clear" w:color="auto" w:fill="1d4ed8"/>
      <w:spacing w:before="280" w:after="120"/>
      <w:jc w:val="center"/>
      <w:outlineLvl w:val="1"/>
    </w:pPr>
    <w:rPr>
      <w:rFonts w:ascii="Arial" w:hAnsi="Arial" w:eastAsia="Arial"/>
      <w:b/>
      <w:bCs/>
      <w:i w:val="0"/>
      <w:caps/>
      <w:color w:val="FFFFFF"/>
      <w:sz w:val="20"/>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Arial" w:hAnsi="Arial" w:eastAsia="Arial"/>
      <w:b/>
      <w:bCs/>
      <w:i w:val="0"/>
      <w:color w:val="1D4ED8"/>
      <w:sz w:val="22"/>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Arial" w:hAnsi="Arial" w:eastAsia="Arial"/>
      <w:b/>
      <w:bCs/>
      <w:i w:val="0"/>
      <w:iCs/>
      <w:color w:val="1E293B"/>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Arial" w:hAnsi="Arial" w:eastAsia="Arial"/>
      <w:b/>
      <w:i w:val="0"/>
      <w:color w:val="1D4ED8"/>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spertsuite.com/approval-kit" TargetMode="External"/><Relationship Id="rId11" Type="http://schemas.openxmlformats.org/officeDocument/2006/relationships/hyperlink" Target="https://github.com/famousdavis/spert-landing" TargetMode="External"/><Relationship Id="rId12" Type="http://schemas.openxmlformats.org/officeDocument/2006/relationships/hyperlink" Target="https://spertsuite.com/PRIVACY.pdf" TargetMode="External"/><Relationship Id="rId13" Type="http://schemas.openxmlformats.org/officeDocument/2006/relationships/hyperlink" Target="https://spertsuite.com/ai-privacy" TargetMode="External"/><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pertsuite.com/approva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Flow Diagram and AI Connectivity: SPERT® Suite at [ORGANIZATION]</dc:title>
  <dc:subject>Fill-in template: data flows per tier, Connect AI snapshot contents and tools, and the organization's own controls</dc:subject>
  <dc:creator>William W. Davis, MSPM, PMP</dc:creator>
  <cp:keywords>SPERT Suite; Approval Kit</cp:keywords>
  <dc:description>SPERT® Suite Approval Kit v1.0.0 (Release) · Content reviewed 2026-10-25 · Built 2026-10-26</dc:description>
  <cp:lastModifiedBy/>
  <cp:revision>1</cp:revision>
  <dcterms:created xsi:type="dcterms:W3CDTF">2013-12-23T23:15:00Z</dcterms:created>
  <dcterms:modified xsi:type="dcterms:W3CDTF">2013-12-23T23:15:00Z</dcterms:modified>
  <cp:category/>
  <cp:version>1.0.0</cp:version>
</cp:coreProperties>
</file>