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29"/>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29"/>
        </w:rPr>
        <w:t xml:space="preserve">  </w:t>
      </w:r>
      <w:r>
        <w:rPr>
          <w:sz w:val="29"/>
        </w:rPr>
        <w:t>Information Security Profile: SPERT</w:t>
      </w:r>
      <w:r>
        <w:rPr>
          <w:sz w:val="29"/>
          <w:vertAlign w:val="superscript"/>
        </w:rPr>
        <w:t>®</w:t>
      </w:r>
      <w:r>
        <w:rPr>
          <w:sz w:val="29"/>
        </w:rPr>
        <w:t xml:space="preserve"> Suite at </w:t>
      </w:r>
      <w:r>
        <w:rPr>
          <w:sz w:val="29"/>
          <w:highlight w:val="yellow"/>
        </w:rPr>
        <w:t>[ORGANIZATION]</w:t>
      </w:r>
    </w:p>
    <w:p>
      <w:pPr>
        <w:spacing w:after="20"/>
      </w:pPr>
      <w:r>
        <w:rPr>
          <w:b/>
          <w:color w:val="1D4ED8"/>
          <w:sz w:val="18"/>
        </w:rPr>
        <w:t xml:space="preserve">Template  ·  </w:t>
      </w:r>
      <w:r>
        <w:rPr>
          <w:sz w:val="18"/>
        </w:rPr>
        <w:t xml:space="preserve">Fill-in template: controls, gaps, approval scope and attestation, for information security and privacy reviewers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Prepared by:</w:t>
      </w:r>
      <w:r>
        <w:rPr/>
        <w:t xml:space="preserve"> </w:t>
      </w:r>
      <w:r>
        <w:rPr>
          <w:highlight w:val="yellow"/>
        </w:rPr>
        <w:t>[PROJECT MANAGER NAME]</w:t>
      </w:r>
      <w:r>
        <w:rPr/>
        <w:t xml:space="preserve"> for </w:t>
      </w:r>
      <w:r>
        <w:rPr>
          <w:highlight w:val="yellow"/>
        </w:rPr>
        <w:t>[REVIEWING TEAM]</w:t>
      </w:r>
      <w:r>
        <w:rPr/>
        <w:t xml:space="preserve"> · </w:t>
      </w:r>
      <w:r>
        <w:rPr>
          <w:b/>
        </w:rPr>
        <w:t>Request reference:</w:t>
      </w:r>
      <w:r>
        <w:rPr/>
        <w:t xml:space="preserve"> </w:t>
      </w:r>
      <w:r>
        <w:rPr>
          <w:highlight w:val="yellow"/>
        </w:rPr>
        <w:t>[REQUEST ID]</w:t>
      </w:r>
      <w:r>
        <w:rPr/>
        <w:t xml:space="preserve"> · </w:t>
      </w:r>
      <w:r>
        <w:rPr>
          <w:b/>
        </w:rPr>
        <w:t>Date:</w:t>
      </w:r>
      <w:r>
        <w:rPr/>
        <w:t xml:space="preserve"> </w:t>
      </w:r>
      <w:r>
        <w:rPr>
          <w:highlight w:val="yellow"/>
        </w:rPr>
        <w:t>[DATE]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668"/>
        <w:gridCol w:w="6700"/>
      </w:tblGrid>
      <w:tr>
        <w:trPr>
          <w:cantSplit/>
          <w:tblHeader w:val="true"/>
        </w:trPr>
        <w:tc>
          <w:tcPr>
            <w:tcW w:type="dxa" w:w="3668"/>
            <w:shd w:val="clear" w:color="auto" w:fill="1d4ed8"/>
          </w:tcPr>
          <w:p>
            <w:pPr>
              <w:spacing w:after="0"/>
            </w:pPr>
            <w:r>
              <w:rPr>
                <w:b/>
                <w:color w:val="FFFFFF"/>
                <w:sz w:val="18"/>
              </w:rPr>
              <w:t>Item</w:t>
            </w:r>
          </w:p>
        </w:tc>
        <w:tc>
          <w:tcPr>
            <w:tcW w:type="dxa" w:w="6700"/>
            <w:shd w:val="clear" w:color="auto" w:fill="1d4ed8"/>
          </w:tcPr>
          <w:p>
            <w:pPr>
              <w:spacing w:after="0"/>
            </w:pPr>
            <w:r>
              <w:rPr>
                <w:b/>
                <w:color w:val="FFFFFF"/>
                <w:sz w:val="18"/>
              </w:rPr>
              <w:t>Value</w:t>
            </w:r>
          </w:p>
        </w:tc>
      </w:tr>
      <w:tr>
        <w:trPr>
          <w:cantSplit/>
        </w:trPr>
        <w:tc>
          <w:tcPr>
            <w:tcW w:type="dxa" w:w="3668"/>
          </w:tcPr>
          <w:p>
            <w:pPr>
              <w:spacing w:after="0"/>
            </w:pPr>
            <w:r>
              <w:rPr>
                <w:sz w:val="18"/>
              </w:rPr>
              <w:t>Apps requested</w:t>
            </w:r>
          </w:p>
        </w:tc>
        <w:tc>
          <w:tcPr>
            <w:tcW w:type="dxa" w:w="6700"/>
          </w:tcPr>
          <w:p>
            <w:pPr>
              <w:spacing w:after="0"/>
            </w:pPr>
            <w:r>
              <w:rPr>
                <w:sz w:val="18"/>
                <w:highlight w:val="yellow"/>
              </w:rPr>
              <w:t>[APPS REQUESTED]</w:t>
            </w:r>
          </w:p>
        </w:tc>
      </w:tr>
      <w:tr>
        <w:trPr>
          <w:cantSplit/>
        </w:trPr>
        <w:tc>
          <w:tcPr>
            <w:tcW w:type="dxa" w:w="3668"/>
            <w:shd w:val="clear" w:color="auto" w:fill="f1f5f9"/>
          </w:tcPr>
          <w:p>
            <w:pPr>
              <w:spacing w:after="0"/>
            </w:pPr>
            <w:r>
              <w:rPr>
                <w:sz w:val="18"/>
              </w:rPr>
              <w:t>Tiers requested</w:t>
            </w:r>
          </w:p>
        </w:tc>
        <w:tc>
          <w:tcPr>
            <w:tcW w:type="dxa" w:w="6700"/>
            <w:shd w:val="clear" w:color="auto" w:fill="f1f5f9"/>
          </w:tcPr>
          <w:p>
            <w:pPr>
              <w:spacing w:after="0"/>
            </w:pPr>
            <w:r>
              <w:rPr>
                <w:sz w:val="18"/>
                <w:highlight w:val="yellow"/>
              </w:rPr>
              <w:t>[TIERS REQUESTED]</w:t>
            </w:r>
          </w:p>
        </w:tc>
      </w:tr>
      <w:tr>
        <w:trPr>
          <w:cantSplit/>
        </w:trPr>
        <w:tc>
          <w:tcPr>
            <w:tcW w:type="dxa" w:w="3668"/>
          </w:tcPr>
          <w:p>
            <w:pPr>
              <w:spacing w:after="0"/>
            </w:pPr>
            <w:r>
              <w:rPr>
                <w:sz w:val="18"/>
              </w:rPr>
              <w:t>Users and duration</w:t>
            </w:r>
          </w:p>
        </w:tc>
        <w:tc>
          <w:tcPr>
            <w:tcW w:type="dxa" w:w="6700"/>
          </w:tcPr>
          <w:p>
            <w:pPr>
              <w:spacing w:after="0"/>
            </w:pPr>
            <w:r>
              <w:rPr>
                <w:sz w:val="18"/>
                <w:highlight w:val="yellow"/>
              </w:rPr>
              <w:t>[NUMBER]</w:t>
            </w:r>
            <w:r>
              <w:rPr>
                <w:sz w:val="18"/>
              </w:rPr>
              <w:t xml:space="preserve"> users in </w:t>
            </w:r>
            <w:r>
              <w:rPr>
                <w:sz w:val="18"/>
                <w:highlight w:val="yellow"/>
              </w:rPr>
              <w:t>[TEAM]</w:t>
            </w:r>
            <w:r>
              <w:rPr>
                <w:sz w:val="18"/>
              </w:rPr>
              <w:t xml:space="preserve">, for </w:t>
            </w:r>
            <w:r>
              <w:rPr>
                <w:sz w:val="18"/>
                <w:highlight w:val="yellow"/>
              </w:rPr>
              <w:t>[PILOT LENGTH]</w:t>
            </w:r>
          </w:p>
        </w:tc>
      </w:tr>
      <w:tr>
        <w:trPr>
          <w:cantSplit/>
        </w:trPr>
        <w:tc>
          <w:tcPr>
            <w:tcW w:type="dxa" w:w="3668"/>
            <w:shd w:val="clear" w:color="auto" w:fill="f1f5f9"/>
          </w:tcPr>
          <w:p>
            <w:pPr>
              <w:spacing w:after="0"/>
            </w:pPr>
            <w:r>
              <w:rPr>
                <w:sz w:val="18"/>
              </w:rPr>
              <w:t>Highest data classification proposed</w:t>
            </w:r>
          </w:p>
        </w:tc>
        <w:tc>
          <w:tcPr>
            <w:tcW w:type="dxa" w:w="6700"/>
            <w:shd w:val="clear" w:color="auto" w:fill="f1f5f9"/>
          </w:tcPr>
          <w:p>
            <w:pPr>
              <w:spacing w:after="0"/>
            </w:pPr>
            <w:r>
              <w:rPr>
                <w:sz w:val="18"/>
                <w:highlight w:val="yellow"/>
              </w:rPr>
              <w:t>[DATA CLASSIFICATION]</w:t>
            </w:r>
          </w:p>
        </w:tc>
      </w:tr>
      <w:tr>
        <w:trPr>
          <w:cantSplit/>
        </w:trPr>
        <w:tc>
          <w:tcPr>
            <w:tcW w:type="dxa" w:w="3668"/>
          </w:tcPr>
          <w:p>
            <w:pPr>
              <w:spacing w:after="0"/>
            </w:pPr>
            <w:r>
              <w:rPr>
                <w:sz w:val="18"/>
              </w:rPr>
              <w:t>Versions reviewed</w:t>
            </w:r>
          </w:p>
        </w:tc>
        <w:tc>
          <w:tcPr>
            <w:tcW w:type="dxa" w:w="6700"/>
          </w:tcPr>
          <w:p>
            <w:pPr>
              <w:spacing w:after="0"/>
            </w:pPr>
            <w:r>
              <w:rPr>
                <w:sz w:val="18"/>
              </w:rPr>
              <w:t>SPERT</w:t>
            </w:r>
            <w:r>
              <w:rPr>
                <w:sz w:val="18"/>
                <w:vertAlign w:val="superscript"/>
              </w:rPr>
              <w:t>®</w:t>
            </w:r>
            <w:r>
              <w:rPr>
                <w:sz w:val="18"/>
              </w:rPr>
              <w:t xml:space="preserve"> Scheduler 0.79.26 (</w:t>
            </w:r>
            <w:r>
              <w:rPr>
                <w:rFonts w:ascii="Consolas" w:hAnsi="Consolas"/>
                <w:sz w:val="16"/>
              </w:rPr>
              <w:t>86b3e49</w:t>
            </w:r>
            <w:r>
              <w:rPr>
                <w:sz w:val="18"/>
              </w:rPr>
              <w:t>), SPERT</w:t>
            </w:r>
            <w:r>
              <w:rPr>
                <w:sz w:val="18"/>
                <w:vertAlign w:val="superscript"/>
              </w:rPr>
              <w:t>®</w:t>
            </w:r>
            <w:r>
              <w:rPr>
                <w:sz w:val="18"/>
              </w:rPr>
              <w:t xml:space="preserve"> Story Map 0.53.14 (</w:t>
            </w:r>
            <w:r>
              <w:rPr>
                <w:rFonts w:ascii="Consolas" w:hAnsi="Consolas"/>
                <w:sz w:val="16"/>
              </w:rPr>
              <w:t>5e613c4</w:t>
            </w:r>
            <w:r>
              <w:rPr>
                <w:sz w:val="18"/>
              </w:rPr>
              <w:t>), SPERT</w:t>
            </w:r>
            <w:r>
              <w:rPr>
                <w:sz w:val="18"/>
                <w:vertAlign w:val="superscript"/>
              </w:rPr>
              <w:t>®</w:t>
            </w:r>
            <w:r>
              <w:rPr>
                <w:sz w:val="18"/>
              </w:rPr>
              <w:t xml:space="preserve"> Forecaster 0.47.4 (</w:t>
            </w:r>
            <w:r>
              <w:rPr>
                <w:rFonts w:ascii="Consolas" w:hAnsi="Consolas"/>
                <w:sz w:val="16"/>
              </w:rPr>
              <w:t>ff7ac3b</w:t>
            </w:r>
            <w:r>
              <w:rPr>
                <w:sz w:val="18"/>
              </w:rPr>
              <w:t>), SPERT</w:t>
            </w:r>
            <w:r>
              <w:rPr>
                <w:sz w:val="18"/>
                <w:vertAlign w:val="superscript"/>
              </w:rPr>
              <w:t>®</w:t>
            </w:r>
            <w:r>
              <w:rPr>
                <w:sz w:val="18"/>
              </w:rPr>
              <w:t xml:space="preserve"> CFD 0.15.23 (</w:t>
            </w:r>
            <w:r>
              <w:rPr>
                <w:rFonts w:ascii="Consolas" w:hAnsi="Consolas"/>
                <w:sz w:val="16"/>
              </w:rPr>
              <w:t>c7f9c68</w:t>
            </w:r>
            <w:r>
              <w:rPr>
                <w:sz w:val="18"/>
              </w:rPr>
              <w:t>), GanttApp™ 0.29.8 (</w:t>
            </w:r>
            <w:r>
              <w:rPr>
                <w:rFonts w:ascii="Consolas" w:hAnsi="Consolas"/>
                <w:sz w:val="16"/>
              </w:rPr>
              <w:t>64d1647</w:t>
            </w:r>
            <w:r>
              <w:rPr>
                <w:sz w:val="18"/>
              </w:rPr>
              <w:t>), MyScrumBudget™ 0.44.4 (</w:t>
            </w:r>
            <w:r>
              <w:rPr>
                <w:rFonts w:ascii="Consolas" w:hAnsi="Consolas"/>
                <w:sz w:val="16"/>
              </w:rPr>
              <w:t>0825168</w:t>
            </w:r>
            <w:r>
              <w:rPr>
                <w:sz w:val="18"/>
              </w:rPr>
              <w:t xml:space="preserve">); shared backend </w:t>
            </w:r>
            <w:hyperlink r:id="rId11">
              <w:r>
                <w:rPr>
                  <w:color w:val="1d4ed8"/>
                  <w:sz w:val="18"/>
                  <w:u w:val="single"/>
                </w:rPr>
                <w:t xml:space="preserve">spert-landing</w:t>
              </w:r>
            </w:hyperlink>
            <w:r>
              <w:rPr>
                <w:sz w:val="18"/>
              </w:rPr>
              <w:t xml:space="preserve"> 2.7.2 (</w:t>
            </w:r>
            <w:r>
              <w:rPr>
                <w:rFonts w:ascii="Consolas" w:hAnsi="Consolas"/>
                <w:sz w:val="16"/>
              </w:rPr>
              <w:t>52b7fbf</w:t>
            </w:r>
            <w:r>
              <w:rPr>
                <w:sz w:val="18"/>
              </w:rPr>
              <w:t>), Connect AI server 1.14.1</w:t>
            </w:r>
          </w:p>
        </w:tc>
      </w:tr>
      <w:tr>
        <w:trPr>
          <w:cantSplit/>
        </w:trPr>
        <w:tc>
          <w:tcPr>
            <w:tcW w:type="dxa" w:w="3668"/>
            <w:shd w:val="clear" w:color="auto" w:fill="f1f5f9"/>
          </w:tcPr>
          <w:p>
            <w:pPr>
              <w:spacing w:after="0"/>
            </w:pPr>
            <w:r>
              <w:rPr>
                <w:sz w:val="18"/>
              </w:rPr>
              <w:t>Legal documents relied on</w:t>
            </w:r>
          </w:p>
        </w:tc>
        <w:tc>
          <w:tcPr>
            <w:tcW w:type="dxa" w:w="6700"/>
            <w:shd w:val="clear" w:color="auto" w:fill="f1f5f9"/>
          </w:tcPr>
          <w:p>
            <w:pPr>
              <w:spacing w:after="0"/>
            </w:pPr>
            <w:hyperlink r:id="rId12">
              <w:r>
                <w:rPr>
                  <w:color w:val="1d4ed8"/>
                  <w:sz w:val="18"/>
                  <w:u w:val="single"/>
                </w:rPr>
                <w:t xml:space="preserve">Terms of Service</w:t>
              </w:r>
            </w:hyperlink>
            <w:r>
              <w:rPr>
                <w:sz w:val="18"/>
              </w:rPr>
              <w:t xml:space="preserve"> v1.4 and </w:t>
            </w:r>
            <w:hyperlink r:id="rId13">
              <w:r>
                <w:rPr>
                  <w:color w:val="1d4ed8"/>
                  <w:sz w:val="18"/>
                  <w:u w:val="single"/>
                </w:rPr>
                <w:t xml:space="preserve">Privacy Policy</w:t>
              </w:r>
            </w:hyperlink>
            <w:r>
              <w:rPr>
                <w:sz w:val="18"/>
              </w:rPr>
              <w:t xml:space="preserve"> v1.4 (effective 2026-10-26); </w:t>
            </w:r>
            <w:hyperlink r:id="rId14">
              <w:r>
                <w:rPr>
                  <w:color w:val="1d4ed8"/>
                  <w:sz w:val="18"/>
                  <w:u w:val="single"/>
                </w:rPr>
                <w:t xml:space="preserve">AI Privacy Notice</w:t>
              </w:r>
            </w:hyperlink>
            <w:r>
              <w:rPr>
                <w:sz w:val="18"/>
              </w:rPr>
              <w:t xml:space="preserve"> v2.3 (effective 2026-10-26); </w:t>
            </w:r>
            <w:hyperlink r:id="rId15">
              <w:r>
                <w:rPr>
                  <w:color w:val="1d4ed8"/>
                  <w:sz w:val="18"/>
                  <w:u w:val="single"/>
                </w:rPr>
                <w:t xml:space="preserve">AI Connectivity Consent Notice</w:t>
              </w:r>
            </w:hyperlink>
            <w:r>
              <w:rPr>
                <w:sz w:val="18"/>
              </w:rPr>
              <w:t xml:space="preserve"> v2.2 (effective 2026-10-26)</w:t>
            </w:r>
          </w:p>
        </w:tc>
      </w:tr>
      <w:tr>
        <w:trPr>
          <w:cantSplit/>
        </w:trPr>
        <w:tc>
          <w:tcPr>
            <w:tcW w:type="dxa" w:w="3668"/>
          </w:tcPr>
          <w:p>
            <w:pPr>
              <w:spacing w:after="0"/>
            </w:pPr>
            <w:r>
              <w:rPr>
                <w:sz w:val="18"/>
              </w:rPr>
              <w:t>Kit review date</w:t>
            </w:r>
          </w:p>
        </w:tc>
        <w:tc>
          <w:tcPr>
            <w:tcW w:type="dxa" w:w="6700"/>
          </w:tcPr>
          <w:p>
            <w:pPr>
              <w:spacing w:after="0"/>
            </w:pPr>
            <w:r>
              <w:rPr>
                <w:sz w:val="18"/>
              </w:rPr>
              <w:t>2026-10-25</w:t>
            </w:r>
          </w:p>
        </w:tc>
      </w:tr>
      <w:tr>
        <w:trPr>
          <w:cantSplit/>
        </w:trPr>
        <w:tc>
          <w:tcPr>
            <w:tcW w:type="dxa" w:w="3668"/>
            <w:shd w:val="clear" w:color="auto" w:fill="f1f5f9"/>
          </w:tcPr>
          <w:p>
            <w:pPr>
              <w:spacing w:after="0"/>
            </w:pPr>
            <w:r>
              <w:rPr>
                <w:sz w:val="18"/>
              </w:rPr>
              <w:t>Operator</w:t>
            </w:r>
          </w:p>
        </w:tc>
        <w:tc>
          <w:tcPr>
            <w:tcW w:type="dxa" w:w="6700"/>
            <w:shd w:val="clear" w:color="auto" w:fill="f1f5f9"/>
          </w:tcPr>
          <w:p>
            <w:pPr>
              <w:spacing w:after="0"/>
            </w:pPr>
            <w:r>
              <w:rPr>
                <w:sz w:val="18"/>
              </w:rPr>
              <w:t>famousdavis, LLC, a Florida limited liability company (</w:t>
            </w:r>
            <w:hyperlink r:id="rId12">
              <w:r>
                <w:rPr>
                  <w:color w:val="1d4ed8"/>
                  <w:sz w:val="18"/>
                  <w:u w:val="single"/>
                </w:rPr>
                <w:t xml:space="preserve">ToS</w:t>
              </w:r>
            </w:hyperlink>
            <w:r>
              <w:rPr>
                <w:sz w:val="18"/>
              </w:rPr>
              <w:t xml:space="preserve"> §1)</w:t>
            </w:r>
          </w:p>
        </w:tc>
      </w:tr>
    </w:tbl>
    <w:p>
      <w:pPr>
        <w:spacing w:after="40"/>
      </w:pPr>
    </w:p>
    <w:p>
      <w:r>
        <w:rPr>
          <w:i/>
        </w:rPr>
        <w:t xml:space="preserve">This profile is prepared by </w:t>
      </w:r>
      <w:r>
        <w:rPr>
          <w:i/>
          <w:highlight w:val="yellow"/>
        </w:rPr>
        <w:t>[ORGANIZATION]</w:t>
      </w:r>
      <w:r>
        <w:rPr>
          <w:i/>
        </w:rPr>
        <w:t>'s requester, not issued by the operator. It supports an approval process; it is not legal, compliance or security advice, and it makes no commitments on the operator's behalf beyond those in the published legal documents.</w:t>
      </w: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Contacting the operator.</w:t>
            </w:r>
            <w:r>
              <w:rPr>
                <w:sz w:val="19"/>
              </w:rPr>
              <w:t xml:space="preserve"> Security reports and suspected account misuse: </w:t>
            </w:r>
            <w:hyperlink r:id="rId16">
              <w:r>
                <w:rPr>
                  <w:color w:val="1d4ed8"/>
                  <w:sz w:val="19"/>
                  <w:u w:val="single"/>
                </w:rPr>
                <w:t xml:space="preserve">security@spertsuite.com</w:t>
              </w:r>
            </w:hyperlink>
            <w:r>
              <w:rPr>
                <w:sz w:val="19"/>
              </w:rPr>
              <w:t>, or GitHub private vulnerability reporting on any public SPERT</w:t>
            </w:r>
            <w:r>
              <w:rPr>
                <w:sz w:val="19"/>
                <w:vertAlign w:val="superscript"/>
              </w:rPr>
              <w:t>®</w:t>
            </w:r>
            <w:r>
              <w:rPr>
                <w:sz w:val="19"/>
              </w:rPr>
              <w:t xml:space="preserve"> repository. Privacy questions, and requests to access, correct or delete data: </w:t>
            </w:r>
            <w:hyperlink r:id="rId17">
              <w:r>
                <w:rPr>
                  <w:color w:val="1d4ed8"/>
                  <w:sz w:val="19"/>
                  <w:u w:val="single"/>
                </w:rPr>
                <w:t xml:space="preserve">privacy@spertsuite.com</w:t>
              </w:r>
            </w:hyperlink>
            <w:r>
              <w:rPr>
                <w:sz w:val="19"/>
              </w:rPr>
              <w:t xml:space="preserve">. Everything else, including the data-flow summary for IT review that the </w:t>
            </w:r>
            <w:hyperlink r:id="rId14">
              <w:r>
                <w:rPr>
                  <w:color w:val="1d4ed8"/>
                  <w:sz w:val="19"/>
                  <w:u w:val="single"/>
                </w:rPr>
                <w:t xml:space="preserve">AI Privacy Notice</w:t>
              </w:r>
            </w:hyperlink>
            <w:r>
              <w:rPr>
                <w:sz w:val="19"/>
              </w:rPr>
              <w:t xml:space="preserve"> (§7) offers: </w:t>
            </w:r>
            <w:hyperlink r:id="rId18">
              <w:r>
                <w:rPr>
                  <w:color w:val="1d4ed8"/>
                  <w:sz w:val="19"/>
                  <w:u w:val="single"/>
                </w:rPr>
                <w:t xml:space="preserve">contact@spertsuite.com</w:t>
              </w:r>
            </w:hyperlink>
            <w:r>
              <w:rPr>
                <w:sz w:val="19"/>
              </w:rPr>
              <w:t xml:space="preserve">. The security policy is at </w:t>
            </w:r>
            <w:hyperlink r:id="rId19">
              <w:r>
                <w:rPr>
                  <w:color w:val="1d4ed8"/>
                  <w:sz w:val="19"/>
                  <w:u w:val="single"/>
                </w:rPr>
                <w:t xml:space="preserve">https://spertsuite.com/security</w:t>
              </w:r>
            </w:hyperlink>
            <w:r>
              <w:rPr>
                <w:sz w:val="19"/>
              </w:rPr>
              <w:t>. The legal documents give the same addresses.</w:t>
            </w:r>
          </w:p>
        </w:tc>
      </w:tr>
    </w:tbl>
    <w:p>
      <w:pPr>
        <w:spacing w:after="40"/>
      </w:pP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For the project manager.</w:t>
            </w:r>
            <w:r>
              <w:rPr>
                <w:sz w:val="19"/>
              </w:rPr>
              <w:t xml:space="preserve"> The middle column of each table states what SPERT</w:t>
            </w:r>
            <w:r>
              <w:rPr>
                <w:sz w:val="19"/>
                <w:vertAlign w:val="superscript"/>
              </w:rPr>
              <w:t>®</w:t>
            </w:r>
            <w:r>
              <w:rPr>
                <w:sz w:val="19"/>
              </w:rPr>
              <w:t xml:space="preserve"> Suite does today, with its source; leave it as it is. Fill in the right-hand column with </w:t>
            </w:r>
            <w:r>
              <w:rPr>
                <w:sz w:val="19"/>
                <w:highlight w:val="yellow"/>
              </w:rPr>
              <w:t>[ORGANIZATION]</w:t>
            </w:r>
            <w:r>
              <w:rPr>
                <w:sz w:val="19"/>
              </w:rPr>
              <w:t xml:space="preserve">'s requirement, or leave it for </w:t>
            </w:r>
            <w:r>
              <w:rPr>
                <w:sz w:val="19"/>
                <w:highlight w:val="yellow"/>
              </w:rPr>
              <w:t>[REVIEWING TEAM]</w:t>
            </w:r>
            <w:r>
              <w:rPr>
                <w:sz w:val="19"/>
              </w:rPr>
              <w:t xml:space="preserve"> to complete. Delete rows for tiers you are not requesting. For SPERT</w:t>
            </w:r>
            <w:r>
              <w:rPr>
                <w:sz w:val="19"/>
                <w:vertAlign w:val="superscript"/>
              </w:rPr>
              <w:t>®</w:t>
            </w:r>
            <w:r>
              <w:rPr>
                <w:sz w:val="19"/>
              </w:rPr>
              <w:t xml:space="preserve"> Scheduler, the </w:t>
            </w:r>
            <w:r>
              <w:rPr>
                <w:i/>
                <w:sz w:val="19"/>
              </w:rPr>
              <w:t>Security Questionnaire Answer Sheet</w:t>
            </w:r>
            <w:r>
              <w:rPr>
                <w:sz w:val="19"/>
              </w:rPr>
              <w:t xml:space="preserve"> gives longer answers with code references. Delete this box before you send the profile.</w:t>
            </w:r>
          </w:p>
        </w:tc>
      </w:tr>
    </w:tbl>
    <w:p>
      <w:pPr>
        <w:spacing w:after="40"/>
      </w:pPr>
    </w:p>
    <w:p>
      <w:pPr>
        <w:pStyle w:val="Heading2"/>
      </w:pPr>
      <w:r>
        <w:rPr/>
        <w:t>1. Approval scope</w:t>
      </w:r>
    </w:p>
    <w:p>
      <w:r>
        <w:rPr/>
        <w:t>SPERT</w:t>
      </w:r>
      <w:r>
        <w:rPr>
          <w:vertAlign w:val="superscript"/>
        </w:rPr>
        <w:t>®</w:t>
      </w:r>
      <w:r>
        <w:rPr/>
        <w:t xml:space="preserve"> Suite can be approved in separate tiers. Each has its own data flows and risks, so </w:t>
      </w:r>
      <w:r>
        <w:rPr>
          <w:highlight w:val="yellow"/>
        </w:rPr>
        <w:t>[REVIEWING TEAM]</w:t>
      </w:r>
      <w:r>
        <w:rPr/>
        <w:t xml:space="preserve"> can approve tier 1 without the others. The numbers are labels, not a ladder: tiers 2 and 3 are separate decisions.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880"/>
        <w:gridCol w:w="3119"/>
        <w:gridCol w:w="3265"/>
        <w:gridCol w:w="2104"/>
      </w:tblGrid>
      <w:tr>
        <w:trPr>
          <w:cantSplit/>
          <w:tblHeader w:val="true"/>
        </w:trPr>
        <w:tc>
          <w:tcPr>
            <w:tcW w:type="dxa" w:w="1880"/>
            <w:shd w:val="clear" w:color="auto" w:fill="1d4ed8"/>
          </w:tcPr>
          <w:p>
            <w:pPr>
              <w:spacing w:after="0"/>
            </w:pPr>
            <w:r>
              <w:rPr>
                <w:b/>
                <w:color w:val="FFFFFF"/>
                <w:sz w:val="18"/>
              </w:rPr>
              <w:t>Tier</w:t>
            </w:r>
          </w:p>
        </w:tc>
        <w:tc>
          <w:tcPr>
            <w:tcW w:type="dxa" w:w="3119"/>
            <w:shd w:val="clear" w:color="auto" w:fill="1d4ed8"/>
          </w:tcPr>
          <w:p>
            <w:pPr>
              <w:spacing w:after="0"/>
            </w:pPr>
            <w:r>
              <w:rPr>
                <w:b/>
                <w:color w:val="FFFFFF"/>
                <w:sz w:val="18"/>
              </w:rPr>
              <w:t>What it involves</w:t>
            </w:r>
          </w:p>
        </w:tc>
        <w:tc>
          <w:tcPr>
            <w:tcW w:type="dxa" w:w="3265"/>
            <w:shd w:val="clear" w:color="auto" w:fill="1d4ed8"/>
          </w:tcPr>
          <w:p>
            <w:pPr>
              <w:spacing w:after="0"/>
            </w:pPr>
            <w:r>
              <w:rPr>
                <w:b/>
                <w:color w:val="FFFFFF"/>
                <w:sz w:val="18"/>
              </w:rPr>
              <w:t>What leaves the user's device</w:t>
            </w:r>
          </w:p>
        </w:tc>
        <w:tc>
          <w:tcPr>
            <w:tcW w:type="dxa" w:w="2104"/>
            <w:shd w:val="clear" w:color="auto" w:fill="1d4ed8"/>
          </w:tcPr>
          <w:p>
            <w:pPr>
              <w:spacing w:after="0"/>
            </w:pPr>
            <w:r>
              <w:rPr>
                <w:b/>
                <w:color w:val="FFFFFF"/>
                <w:sz w:val="18"/>
              </w:rPr>
              <w:t>Requested?</w:t>
            </w:r>
          </w:p>
        </w:tc>
      </w:tr>
      <w:tr>
        <w:trPr>
          <w:cantSplit/>
        </w:trPr>
        <w:tc>
          <w:tcPr>
            <w:tcW w:type="dxa" w:w="1880"/>
          </w:tcPr>
          <w:p>
            <w:pPr>
              <w:spacing w:after="0"/>
            </w:pPr>
            <w:r>
              <w:rPr>
                <w:b/>
                <w:sz w:val="18"/>
              </w:rPr>
              <w:t>1. Local-only use</w:t>
            </w:r>
            <w:r>
              <w:rPr>
                <w:sz w:val="18"/>
              </w:rPr>
              <w:t xml:space="preserve"> (default)</w:t>
            </w:r>
          </w:p>
        </w:tc>
        <w:tc>
          <w:tcPr>
            <w:tcW w:type="dxa" w:w="3119"/>
          </w:tcPr>
          <w:p>
            <w:pPr>
              <w:spacing w:after="0"/>
            </w:pPr>
            <w:r>
              <w:rPr>
                <w:sz w:val="18"/>
              </w:rPr>
              <w:t>The app runs in the browser and saves projects in browser storage. No account</w:t>
            </w:r>
          </w:p>
        </w:tc>
        <w:tc>
          <w:tcPr>
            <w:tcW w:type="dxa" w:w="3265"/>
          </w:tcPr>
          <w:p>
            <w:pPr>
              <w:spacing w:after="0"/>
            </w:pPr>
            <w:r>
              <w:rPr>
                <w:sz w:val="18"/>
              </w:rPr>
              <w:t>Page requests to Vercel (IP address, browser type). SPERT</w:t>
            </w:r>
            <w:r>
              <w:rPr>
                <w:sz w:val="18"/>
                <w:vertAlign w:val="superscript"/>
              </w:rPr>
              <w:t>®</w:t>
            </w:r>
            <w:r>
              <w:rPr>
                <w:sz w:val="18"/>
              </w:rPr>
              <w:t xml:space="preserve"> Scheduler's Calendar page requests Nager.Date's country list when opened, and a country's holidays for a chosen year when loaded (</w:t>
            </w:r>
            <w:hyperlink r:id="rId13">
              <w:r>
                <w:rPr>
                  <w:color w:val="1d4ed8"/>
                  <w:sz w:val="18"/>
                  <w:u w:val="single"/>
                </w:rPr>
                <w:t xml:space="preserve">Privacy</w:t>
              </w:r>
            </w:hyperlink>
            <w:r>
              <w:rPr>
                <w:sz w:val="18"/>
              </w:rPr>
              <w:t xml:space="preserve"> §1). No project data</w:t>
            </w:r>
          </w:p>
        </w:tc>
        <w:tc>
          <w:tcPr>
            <w:tcW w:type="dxa" w:w="2104"/>
          </w:tcPr>
          <w:p>
            <w:pPr>
              <w:spacing w:after="0"/>
            </w:pPr>
            <w:r>
              <w:rPr>
                <w:sz w:val="18"/>
                <w:highlight w:val="yellow"/>
              </w:rPr>
              <w:t>[YES / NO]</w:t>
            </w:r>
          </w:p>
        </w:tc>
      </w:tr>
      <w:tr>
        <w:trPr>
          <w:cantSplit/>
        </w:trPr>
        <w:tc>
          <w:tcPr>
            <w:tcW w:type="dxa" w:w="1880"/>
            <w:shd w:val="clear" w:color="auto" w:fill="f1f5f9"/>
          </w:tcPr>
          <w:p>
            <w:pPr>
              <w:spacing w:after="0"/>
            </w:pPr>
            <w:r>
              <w:rPr>
                <w:b/>
                <w:sz w:val="18"/>
              </w:rPr>
              <w:t>2. Cloud storage and sharing</w:t>
            </w:r>
          </w:p>
        </w:tc>
        <w:tc>
          <w:tcPr>
            <w:tcW w:type="dxa" w:w="3119"/>
            <w:shd w:val="clear" w:color="auto" w:fill="f1f5f9"/>
          </w:tcPr>
          <w:p>
            <w:pPr>
              <w:spacing w:after="0"/>
            </w:pPr>
            <w:r>
              <w:rPr>
                <w:sz w:val="18"/>
              </w:rPr>
              <w:t>Sign-in with Google or Microsoft; projects saved to Google Cloud and optionally shared</w:t>
            </w:r>
          </w:p>
        </w:tc>
        <w:tc>
          <w:tcPr>
            <w:tcW w:type="dxa" w:w="3265"/>
            <w:shd w:val="clear" w:color="auto" w:fill="f1f5f9"/>
          </w:tcPr>
          <w:p>
            <w:pPr>
              <w:spacing w:after="0"/>
            </w:pPr>
            <w:r>
              <w:rPr>
                <w:sz w:val="18"/>
              </w:rPr>
              <w:t>Name, email, saved projects, Terms acceptance record, technical data</w:t>
            </w:r>
          </w:p>
        </w:tc>
        <w:tc>
          <w:tcPr>
            <w:tcW w:type="dxa" w:w="2104"/>
            <w:shd w:val="clear" w:color="auto" w:fill="f1f5f9"/>
          </w:tcPr>
          <w:p>
            <w:pPr>
              <w:spacing w:after="0"/>
            </w:pPr>
            <w:r>
              <w:rPr>
                <w:sz w:val="18"/>
                <w:highlight w:val="yellow"/>
              </w:rPr>
              <w:t>[YES / NO]</w:t>
            </w:r>
          </w:p>
        </w:tc>
      </w:tr>
      <w:tr>
        <w:trPr>
          <w:cantSplit/>
        </w:trPr>
        <w:tc>
          <w:tcPr>
            <w:tcW w:type="dxa" w:w="1880"/>
          </w:tcPr>
          <w:p>
            <w:pPr>
              <w:spacing w:after="0"/>
            </w:pPr>
            <w:r>
              <w:rPr>
                <w:b/>
                <w:sz w:val="18"/>
              </w:rPr>
              <w:t>3. Connect AI</w:t>
            </w:r>
            <w:r>
              <w:rPr>
                <w:sz w:val="18"/>
              </w:rPr>
              <w:t xml:space="preserve"> (three apps only)</w:t>
            </w:r>
          </w:p>
        </w:tc>
        <w:tc>
          <w:tcPr>
            <w:tcW w:type="dxa" w:w="3119"/>
          </w:tcPr>
          <w:p>
            <w:pPr>
              <w:spacing w:after="0"/>
            </w:pPr>
            <w:r>
              <w:rPr>
                <w:sz w:val="18"/>
              </w:rPr>
              <w:t>The user connects their own AI assistant to one open project</w:t>
            </w:r>
          </w:p>
        </w:tc>
        <w:tc>
          <w:tcPr>
            <w:tcW w:type="dxa" w:w="3265"/>
          </w:tcPr>
          <w:p>
            <w:pPr>
              <w:spacing w:after="0"/>
            </w:pPr>
            <w:r>
              <w:rPr>
                <w:sz w:val="18"/>
              </w:rPr>
              <w:t>AI edits pass through a relay in Google Cloud. With Read Mode on, a copy of the open project goes to the relay and on to the AI provider, even in local-only mode</w:t>
            </w:r>
          </w:p>
        </w:tc>
        <w:tc>
          <w:tcPr>
            <w:tcW w:type="dxa" w:w="2104"/>
          </w:tcPr>
          <w:p>
            <w:pPr>
              <w:spacing w:after="0"/>
            </w:pPr>
            <w:r>
              <w:rPr>
                <w:sz w:val="18"/>
                <w:highlight w:val="yellow"/>
              </w:rPr>
              <w:t>[YES / NO]</w:t>
            </w:r>
            <w:r>
              <w:rPr>
                <w:sz w:val="18"/>
              </w:rPr>
              <w:t xml:space="preserve">. Read Mode: </w:t>
            </w:r>
            <w:r>
              <w:rPr>
                <w:sz w:val="18"/>
                <w:highlight w:val="yellow"/>
              </w:rPr>
              <w:t>[YES / NO]</w:t>
            </w:r>
          </w:p>
        </w:tc>
      </w:tr>
    </w:tbl>
    <w:p>
      <w:pPr>
        <w:spacing w:after="40"/>
      </w:pPr>
    </w:p>
    <w:p>
      <w:r>
        <w:rPr>
          <w:b/>
        </w:rPr>
        <w:t>Scope note for tier 2.</w:t>
      </w:r>
      <w:r>
        <w:rPr/>
        <w:t xml:space="preserve"> The most recent security hardening (2026-10-24 and 25) was applied first to SPERT</w:t>
      </w:r>
      <w:r>
        <w:rPr>
          <w:vertAlign w:val="superscript"/>
        </w:rPr>
        <w:t>®</w:t>
      </w:r>
      <w:r>
        <w:rPr/>
        <w:t xml:space="preserve"> Scheduler and the shared backend. A suite-wide self-review was completed on 2026-10-25; its fixes are being released in stages. If tier 2 is requested for an app other than SPERT</w:t>
      </w:r>
      <w:r>
        <w:rPr>
          <w:vertAlign w:val="superscript"/>
        </w:rPr>
        <w:t>®</w:t>
      </w:r>
      <w:r>
        <w:rPr/>
        <w:t xml:space="preserve"> Scheduler, ask the operator (</w:t>
      </w:r>
      <w:hyperlink r:id="rId18">
        <w:r>
          <w:rPr>
            <w:color w:val="1d4ed8"/>
            <w:u w:val="single"/>
          </w:rPr>
          <w:t xml:space="preserve">contact@spertsuite.com</w:t>
        </w:r>
      </w:hyperlink>
      <w:r>
        <w:rPr/>
        <w:t>) for its status before approval.</w:t>
      </w:r>
    </w:p>
    <w:p>
      <w:r>
        <w:rPr>
          <w:b/>
        </w:rPr>
        <w:t>Approval versus enforcement.</w:t>
      </w:r>
      <w:r>
        <w:rPr/>
        <w:t xml:space="preserve"> Approving tier 1 only is a policy decision. SPERT</w:t>
      </w:r>
      <w:r>
        <w:rPr>
          <w:vertAlign w:val="superscript"/>
        </w:rPr>
        <w:t>®</w:t>
      </w:r>
      <w:r>
        <w:rPr/>
        <w:t xml:space="preserve"> Suite has no administrator switch, so staff could still turn on cloud storage or Connect AI. The technical options below are all </w:t>
      </w:r>
      <w:r>
        <w:rPr>
          <w:b/>
        </w:rPr>
        <w:t>untested</w:t>
      </w:r>
      <w:r>
        <w:rPr/>
        <w:t xml:space="preserve">; </w:t>
      </w:r>
      <w:r>
        <w:rPr>
          <w:highlight w:val="yellow"/>
        </w:rPr>
        <w:t>[ORGANIZATION]</w:t>
      </w:r>
      <w:r>
        <w:rPr/>
        <w:t>'s IT team should test any block it relies on.</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5071"/>
        <w:gridCol w:w="3103"/>
        <w:gridCol w:w="2195"/>
      </w:tblGrid>
      <w:tr>
        <w:trPr>
          <w:cantSplit/>
          <w:tblHeader w:val="true"/>
        </w:trPr>
        <w:tc>
          <w:tcPr>
            <w:tcW w:type="dxa" w:w="5071"/>
            <w:shd w:val="clear" w:color="auto" w:fill="1d4ed8"/>
          </w:tcPr>
          <w:p>
            <w:pPr>
              <w:spacing w:after="0"/>
            </w:pPr>
            <w:r>
              <w:rPr>
                <w:b/>
                <w:color w:val="FFFFFF"/>
                <w:sz w:val="18"/>
              </w:rPr>
              <w:t>Control</w:t>
            </w:r>
          </w:p>
        </w:tc>
        <w:tc>
          <w:tcPr>
            <w:tcW w:type="dxa" w:w="3103"/>
            <w:shd w:val="clear" w:color="auto" w:fill="1d4ed8"/>
          </w:tcPr>
          <w:p>
            <w:pPr>
              <w:spacing w:after="0"/>
            </w:pPr>
            <w:r>
              <w:rPr>
                <w:b/>
                <w:color w:val="FFFFFF"/>
                <w:sz w:val="18"/>
              </w:rPr>
              <w:t>What it would stop</w:t>
            </w:r>
          </w:p>
        </w:tc>
        <w:tc>
          <w:tcPr>
            <w:tcW w:type="dxa" w:w="2195"/>
            <w:shd w:val="clear" w:color="auto" w:fill="1d4ed8"/>
          </w:tcPr>
          <w:p>
            <w:pPr>
              <w:spacing w:after="0"/>
            </w:pPr>
            <w:r>
              <w:rPr>
                <w:b/>
                <w:color w:val="FFFFFF"/>
                <w:sz w:val="18"/>
              </w:rPr>
              <w:t>Tested by IT?</w:t>
            </w:r>
          </w:p>
        </w:tc>
      </w:tr>
      <w:tr>
        <w:trPr>
          <w:cantSplit/>
        </w:trPr>
        <w:tc>
          <w:tcPr>
            <w:tcW w:type="dxa" w:w="5071"/>
          </w:tcPr>
          <w:p>
            <w:pPr>
              <w:spacing w:after="0"/>
            </w:pPr>
            <w:r>
              <w:rPr>
                <w:sz w:val="18"/>
              </w:rPr>
              <w:t xml:space="preserve">Block </w:t>
            </w:r>
            <w:r>
              <w:rPr>
                <w:rFonts w:ascii="Consolas" w:hAnsi="Consolas"/>
                <w:sz w:val="16"/>
              </w:rPr>
              <w:t>spert-suite.firebaseapp.com</w:t>
            </w:r>
            <w:r>
              <w:rPr>
                <w:sz w:val="18"/>
              </w:rPr>
              <w:t>, the operator's Firebase sign-in handler</w:t>
            </w:r>
          </w:p>
        </w:tc>
        <w:tc>
          <w:tcPr>
            <w:tcW w:type="dxa" w:w="3103"/>
          </w:tcPr>
          <w:p>
            <w:pPr>
              <w:spacing w:after="0"/>
            </w:pPr>
            <w:r>
              <w:rPr>
                <w:sz w:val="18"/>
              </w:rPr>
              <w:t>Cloud sign-in (tier 2)</w:t>
            </w:r>
          </w:p>
        </w:tc>
        <w:tc>
          <w:tcPr>
            <w:tcW w:type="dxa" w:w="2195"/>
          </w:tcPr>
          <w:p>
            <w:pPr>
              <w:spacing w:after="0"/>
            </w:pPr>
            <w:r>
              <w:rPr>
                <w:sz w:val="18"/>
              </w:rPr>
              <w:t xml:space="preserve">Not tested by the operator. </w:t>
            </w:r>
            <w:r>
              <w:rPr>
                <w:sz w:val="18"/>
                <w:highlight w:val="yellow"/>
              </w:rPr>
              <w:t>[RESULT]</w:t>
            </w:r>
          </w:p>
        </w:tc>
      </w:tr>
      <w:tr>
        <w:trPr>
          <w:cantSplit/>
        </w:trPr>
        <w:tc>
          <w:tcPr>
            <w:tcW w:type="dxa" w:w="5071"/>
            <w:shd w:val="clear" w:color="auto" w:fill="f1f5f9"/>
          </w:tcPr>
          <w:p>
            <w:pPr>
              <w:spacing w:after="0"/>
            </w:pPr>
            <w:r>
              <w:rPr>
                <w:sz w:val="18"/>
              </w:rPr>
              <w:t xml:space="preserve">Block the pairing function, </w:t>
            </w:r>
            <w:r>
              <w:rPr>
                <w:rFonts w:ascii="Consolas" w:hAnsi="Consolas"/>
                <w:sz w:val="16"/>
              </w:rPr>
              <w:t>generatePairingCode</w:t>
            </w:r>
            <w:r>
              <w:rPr>
                <w:sz w:val="18"/>
              </w:rPr>
              <w:t xml:space="preserve"> on </w:t>
            </w:r>
            <w:r>
              <w:rPr>
                <w:rFonts w:ascii="Consolas" w:hAnsi="Consolas"/>
                <w:sz w:val="16"/>
              </w:rPr>
              <w:t>us-central1-spert-suite.cloudfunctions.net</w:t>
            </w:r>
            <w:r>
              <w:rPr>
                <w:sz w:val="18"/>
              </w:rPr>
              <w:t>, or that whole host (which also stops sharing invitations)</w:t>
            </w:r>
          </w:p>
        </w:tc>
        <w:tc>
          <w:tcPr>
            <w:tcW w:type="dxa" w:w="3103"/>
            <w:shd w:val="clear" w:color="auto" w:fill="f1f5f9"/>
          </w:tcPr>
          <w:p>
            <w:pPr>
              <w:spacing w:after="0"/>
            </w:pPr>
            <w:r>
              <w:rPr>
                <w:sz w:val="18"/>
              </w:rPr>
              <w:t>Starting Connect AI (tier 3)</w:t>
            </w:r>
          </w:p>
        </w:tc>
        <w:tc>
          <w:tcPr>
            <w:tcW w:type="dxa" w:w="2195"/>
            <w:shd w:val="clear" w:color="auto" w:fill="f1f5f9"/>
          </w:tcPr>
          <w:p>
            <w:pPr>
              <w:spacing w:after="0"/>
            </w:pPr>
            <w:r>
              <w:rPr>
                <w:sz w:val="18"/>
              </w:rPr>
              <w:t xml:space="preserve">Not tested by the operator. </w:t>
            </w:r>
            <w:r>
              <w:rPr>
                <w:sz w:val="18"/>
                <w:highlight w:val="yellow"/>
              </w:rPr>
              <w:t>[RESULT]</w:t>
            </w:r>
          </w:p>
        </w:tc>
      </w:tr>
      <w:tr>
        <w:trPr>
          <w:cantSplit/>
        </w:trPr>
        <w:tc>
          <w:tcPr>
            <w:tcW w:type="dxa" w:w="5071"/>
          </w:tcPr>
          <w:p>
            <w:pPr>
              <w:spacing w:after="0"/>
            </w:pPr>
            <w:r>
              <w:rPr>
                <w:sz w:val="18"/>
                <w:highlight w:val="yellow"/>
              </w:rPr>
              <w:t>[AI PLATFORM]</w:t>
            </w:r>
            <w:r>
              <w:rPr>
                <w:sz w:val="18"/>
              </w:rPr>
              <w:t>'s own controls over which custom connectors users may add</w:t>
            </w:r>
          </w:p>
        </w:tc>
        <w:tc>
          <w:tcPr>
            <w:tcW w:type="dxa" w:w="3103"/>
          </w:tcPr>
          <w:p>
            <w:pPr>
              <w:spacing w:after="0"/>
            </w:pPr>
            <w:r>
              <w:rPr>
                <w:sz w:val="18"/>
              </w:rPr>
              <w:t>Connect AI (tier 3); the most effective option where available</w:t>
            </w:r>
          </w:p>
        </w:tc>
        <w:tc>
          <w:tcPr>
            <w:tcW w:type="dxa" w:w="2195"/>
          </w:tcPr>
          <w:p>
            <w:pPr>
              <w:spacing w:after="0"/>
            </w:pPr>
            <w:r>
              <w:rPr>
                <w:sz w:val="18"/>
                <w:highlight w:val="yellow"/>
              </w:rPr>
              <w:t>[RESULT]</w:t>
            </w:r>
          </w:p>
        </w:tc>
      </w:tr>
    </w:tbl>
    <w:p>
      <w:pPr>
        <w:spacing w:after="40"/>
      </w:pPr>
    </w:p>
    <w:p>
      <w:pPr>
        <w:pStyle w:val="Heading2"/>
      </w:pPr>
      <w:r>
        <w:rPr/>
        <w:t>2. Product and operator</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726"/>
        <w:gridCol w:w="5964"/>
        <w:gridCol w:w="2678"/>
      </w:tblGrid>
      <w:tr>
        <w:trPr>
          <w:cantSplit/>
          <w:tblHeader w:val="true"/>
        </w:trPr>
        <w:tc>
          <w:tcPr>
            <w:tcW w:type="dxa" w:w="1726"/>
            <w:shd w:val="clear" w:color="auto" w:fill="1d4ed8"/>
          </w:tcPr>
          <w:p>
            <w:pPr>
              <w:spacing w:after="0"/>
            </w:pPr>
            <w:r>
              <w:rPr>
                <w:b/>
                <w:color w:val="FFFFFF"/>
                <w:sz w:val="18"/>
              </w:rPr>
              <w:t>Topic</w:t>
            </w:r>
          </w:p>
        </w:tc>
        <w:tc>
          <w:tcPr>
            <w:tcW w:type="dxa" w:w="5964"/>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678"/>
            <w:shd w:val="clear" w:color="auto" w:fill="1d4ed8"/>
          </w:tcPr>
          <w:p>
            <w:pPr>
              <w:spacing w:after="0"/>
            </w:pPr>
            <w:r>
              <w:rPr>
                <w:b/>
                <w:color w:val="FFFFFF"/>
                <w:sz w:val="18"/>
              </w:rPr>
              <w:t>Requirement and finding</w:t>
            </w:r>
          </w:p>
        </w:tc>
      </w:tr>
      <w:tr>
        <w:trPr>
          <w:cantSplit/>
        </w:trPr>
        <w:tc>
          <w:tcPr>
            <w:tcW w:type="dxa" w:w="1726"/>
          </w:tcPr>
          <w:p>
            <w:pPr>
              <w:spacing w:after="0"/>
            </w:pPr>
            <w:r>
              <w:rPr>
                <w:sz w:val="18"/>
              </w:rPr>
              <w:t>What it is</w:t>
            </w:r>
          </w:p>
        </w:tc>
        <w:tc>
          <w:tcPr>
            <w:tcW w:type="dxa" w:w="5964"/>
          </w:tcPr>
          <w:p>
            <w:pPr>
              <w:spacing w:after="0"/>
            </w:pPr>
            <w:r>
              <w:rPr>
                <w:sz w:val="18"/>
              </w:rPr>
              <w:t>Six browser-based planning apps. Each is a single-page web application; planning calculations run on the user's device. No app repository contains a server-side API route (</w:t>
            </w:r>
            <w:r>
              <w:rPr>
                <w:i/>
                <w:sz w:val="18"/>
              </w:rPr>
              <w:t>Architecture Overview</w:t>
            </w:r>
            <w:r>
              <w:rPr>
                <w:sz w:val="18"/>
              </w:rPr>
              <w:t xml:space="preserve"> §1)</w:t>
            </w:r>
          </w:p>
        </w:tc>
        <w:tc>
          <w:tcPr>
            <w:tcW w:type="dxa" w:w="2678"/>
          </w:tcPr>
          <w:p>
            <w:pPr>
              <w:spacing w:after="0"/>
            </w:pPr>
            <w:r>
              <w:rPr>
                <w:sz w:val="18"/>
                <w:highlight w:val="yellow"/>
              </w:rPr>
              <w:t>[REQUIREMENT / FINDING]</w:t>
            </w:r>
          </w:p>
        </w:tc>
      </w:tr>
      <w:tr>
        <w:trPr>
          <w:cantSplit/>
        </w:trPr>
        <w:tc>
          <w:tcPr>
            <w:tcW w:type="dxa" w:w="1726"/>
            <w:shd w:val="clear" w:color="auto" w:fill="f1f5f9"/>
          </w:tcPr>
          <w:p>
            <w:pPr>
              <w:spacing w:after="0"/>
            </w:pPr>
            <w:r>
              <w:rPr>
                <w:sz w:val="18"/>
              </w:rPr>
              <w:t>Who runs it</w:t>
            </w:r>
          </w:p>
        </w:tc>
        <w:tc>
          <w:tcPr>
            <w:tcW w:type="dxa" w:w="5964"/>
            <w:shd w:val="clear" w:color="auto" w:fill="f1f5f9"/>
          </w:tcPr>
          <w:p>
            <w:pPr>
              <w:spacing w:after="0"/>
            </w:pPr>
            <w:r>
              <w:rPr>
                <w:sz w:val="18"/>
              </w:rPr>
              <w:t>famousdavis, LLC (Florida) since 2026-09-12, a single-operator business; software copyright held by William W. Davis and licensed to the operator (</w:t>
            </w:r>
            <w:hyperlink r:id="rId12">
              <w:r>
                <w:rPr>
                  <w:color w:val="1d4ed8"/>
                  <w:sz w:val="18"/>
                  <w:u w:val="single"/>
                </w:rPr>
                <w:t xml:space="preserve">ToS</w:t>
              </w:r>
            </w:hyperlink>
            <w:r>
              <w:rPr>
                <w:sz w:val="18"/>
              </w:rPr>
              <w:t xml:space="preserve"> §1.1, §3)</w:t>
            </w:r>
          </w:p>
        </w:tc>
        <w:tc>
          <w:tcPr>
            <w:tcW w:type="dxa" w:w="2678"/>
            <w:shd w:val="clear" w:color="auto" w:fill="f1f5f9"/>
          </w:tcPr>
          <w:p>
            <w:pPr>
              <w:spacing w:after="0"/>
            </w:pPr>
            <w:r>
              <w:rPr>
                <w:sz w:val="18"/>
                <w:highlight w:val="yellow"/>
              </w:rPr>
              <w:t>[REQUIREMENT / FINDING]</w:t>
            </w:r>
          </w:p>
        </w:tc>
      </w:tr>
      <w:tr>
        <w:trPr>
          <w:cantSplit/>
        </w:trPr>
        <w:tc>
          <w:tcPr>
            <w:tcW w:type="dxa" w:w="1726"/>
          </w:tcPr>
          <w:p>
            <w:pPr>
              <w:spacing w:after="0"/>
            </w:pPr>
            <w:r>
              <w:rPr>
                <w:sz w:val="18"/>
              </w:rPr>
              <w:t>Source code</w:t>
            </w:r>
          </w:p>
        </w:tc>
        <w:tc>
          <w:tcPr>
            <w:tcW w:type="dxa" w:w="5964"/>
          </w:tcPr>
          <w:p>
            <w:pPr>
              <w:spacing w:after="0"/>
            </w:pPr>
            <w:r>
              <w:rPr>
                <w:sz w:val="18"/>
              </w:rPr>
              <w:t>Public on GitHub under GPL-3.0 with additional terms (attribution, trademarks reserved, modified versions renamed) (</w:t>
            </w:r>
            <w:hyperlink r:id="rId12">
              <w:r>
                <w:rPr>
                  <w:color w:val="1d4ed8"/>
                  <w:sz w:val="18"/>
                  <w:u w:val="single"/>
                </w:rPr>
                <w:t xml:space="preserve">ToS</w:t>
              </w:r>
            </w:hyperlink>
            <w:r>
              <w:rPr>
                <w:sz w:val="18"/>
              </w:rPr>
              <w:t xml:space="preserve"> §3)</w:t>
            </w:r>
          </w:p>
        </w:tc>
        <w:tc>
          <w:tcPr>
            <w:tcW w:type="dxa" w:w="2678"/>
          </w:tcPr>
          <w:p>
            <w:pPr>
              <w:spacing w:after="0"/>
            </w:pPr>
            <w:r>
              <w:rPr>
                <w:sz w:val="18"/>
                <w:highlight w:val="yellow"/>
              </w:rPr>
              <w:t>[REQUIREMENT / FINDING]</w:t>
            </w:r>
          </w:p>
        </w:tc>
      </w:tr>
      <w:tr>
        <w:trPr>
          <w:cantSplit/>
        </w:trPr>
        <w:tc>
          <w:tcPr>
            <w:tcW w:type="dxa" w:w="1726"/>
            <w:shd w:val="clear" w:color="auto" w:fill="f1f5f9"/>
          </w:tcPr>
          <w:p>
            <w:pPr>
              <w:spacing w:after="0"/>
            </w:pPr>
            <w:r>
              <w:rPr>
                <w:sz w:val="18"/>
              </w:rPr>
              <w:t>Cost and contract</w:t>
            </w:r>
          </w:p>
        </w:tc>
        <w:tc>
          <w:tcPr>
            <w:tcW w:type="dxa" w:w="5964"/>
            <w:shd w:val="clear" w:color="auto" w:fill="f1f5f9"/>
          </w:tcPr>
          <w:p>
            <w:pPr>
              <w:spacing w:after="0"/>
            </w:pPr>
            <w:r>
              <w:rPr>
                <w:sz w:val="18"/>
              </w:rPr>
              <w:t>"Core application functionality is provided at no charge" (</w:t>
            </w:r>
            <w:hyperlink r:id="rId12">
              <w:r>
                <w:rPr>
                  <w:color w:val="1d4ed8"/>
                  <w:sz w:val="18"/>
                  <w:u w:val="single"/>
                </w:rPr>
                <w:t xml:space="preserve">ToS</w:t>
              </w:r>
            </w:hyperlink>
            <w:r>
              <w:rPr>
                <w:sz w:val="18"/>
              </w:rPr>
              <w:t xml:space="preserve"> §2). Standard online Terms; no negotiated contract</w:t>
            </w:r>
          </w:p>
        </w:tc>
        <w:tc>
          <w:tcPr>
            <w:tcW w:type="dxa" w:w="2678"/>
            <w:shd w:val="clear" w:color="auto" w:fill="f1f5f9"/>
          </w:tcPr>
          <w:p>
            <w:pPr>
              <w:spacing w:after="0"/>
            </w:pPr>
            <w:r>
              <w:rPr>
                <w:sz w:val="18"/>
                <w:highlight w:val="yellow"/>
              </w:rPr>
              <w:t>[REQUIREMENT / FINDING]</w:t>
            </w:r>
          </w:p>
        </w:tc>
      </w:tr>
      <w:tr>
        <w:trPr>
          <w:cantSplit/>
        </w:trPr>
        <w:tc>
          <w:tcPr>
            <w:tcW w:type="dxa" w:w="1726"/>
          </w:tcPr>
          <w:p>
            <w:pPr>
              <w:spacing w:after="0"/>
            </w:pPr>
            <w:r>
              <w:rPr>
                <w:sz w:val="18"/>
              </w:rPr>
              <w:t>Service level</w:t>
            </w:r>
          </w:p>
        </w:tc>
        <w:tc>
          <w:tcPr>
            <w:tcW w:type="dxa" w:w="5964"/>
          </w:tcPr>
          <w:p>
            <w:pPr>
              <w:spacing w:after="0"/>
            </w:pPr>
            <w:r>
              <w:rPr>
                <w:sz w:val="18"/>
              </w:rPr>
              <w:t>Best effort; "may be modified, suspended, or discontinued at any time without notice" (</w:t>
            </w:r>
            <w:hyperlink r:id="rId12">
              <w:r>
                <w:rPr>
                  <w:color w:val="1d4ed8"/>
                  <w:sz w:val="18"/>
                  <w:u w:val="single"/>
                </w:rPr>
                <w:t xml:space="preserve">ToS</w:t>
              </w:r>
            </w:hyperlink>
            <w:r>
              <w:rPr>
                <w:sz w:val="18"/>
              </w:rPr>
              <w:t xml:space="preserve"> §2). No SLA</w:t>
            </w:r>
          </w:p>
        </w:tc>
        <w:tc>
          <w:tcPr>
            <w:tcW w:type="dxa" w:w="2678"/>
          </w:tcPr>
          <w:p>
            <w:pPr>
              <w:spacing w:after="0"/>
            </w:pPr>
            <w:r>
              <w:rPr>
                <w:sz w:val="18"/>
                <w:highlight w:val="yellow"/>
              </w:rPr>
              <w:t>[REQUIREMENT / FINDING]</w:t>
            </w:r>
          </w:p>
        </w:tc>
      </w:tr>
    </w:tbl>
    <w:p>
      <w:pPr>
        <w:spacing w:after="40"/>
      </w:pPr>
    </w:p>
    <w:p>
      <w:pPr>
        <w:pStyle w:val="Heading2"/>
      </w:pPr>
      <w:r>
        <w:rPr/>
        <w:t>3. Data handled</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601"/>
        <w:gridCol w:w="4310"/>
        <w:gridCol w:w="4457"/>
      </w:tblGrid>
      <w:tr>
        <w:trPr>
          <w:cantSplit/>
          <w:tblHeader w:val="true"/>
        </w:trPr>
        <w:tc>
          <w:tcPr>
            <w:tcW w:type="dxa" w:w="1601"/>
            <w:shd w:val="clear" w:color="auto" w:fill="1d4ed8"/>
          </w:tcPr>
          <w:p>
            <w:pPr>
              <w:spacing w:after="0"/>
            </w:pPr>
            <w:r>
              <w:rPr>
                <w:b/>
                <w:color w:val="FFFFFF"/>
                <w:sz w:val="18"/>
              </w:rPr>
              <w:t>Topic</w:t>
            </w:r>
          </w:p>
        </w:tc>
        <w:tc>
          <w:tcPr>
            <w:tcW w:type="dxa" w:w="4310"/>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4457"/>
            <w:shd w:val="clear" w:color="auto" w:fill="1d4ed8"/>
          </w:tcPr>
          <w:p>
            <w:pPr>
              <w:spacing w:after="0"/>
            </w:pPr>
            <w:r>
              <w:rPr>
                <w:b/>
                <w:color w:val="FFFFFF"/>
                <w:sz w:val="18"/>
              </w:rPr>
              <w:t>Requirement and finding</w:t>
            </w:r>
          </w:p>
        </w:tc>
      </w:tr>
      <w:tr>
        <w:trPr>
          <w:cantSplit/>
        </w:trPr>
        <w:tc>
          <w:tcPr>
            <w:tcW w:type="dxa" w:w="1601"/>
          </w:tcPr>
          <w:p>
            <w:pPr>
              <w:spacing w:after="0"/>
            </w:pPr>
            <w:r>
              <w:rPr>
                <w:sz w:val="18"/>
              </w:rPr>
              <w:t>Tier 1</w:t>
            </w:r>
          </w:p>
        </w:tc>
        <w:tc>
          <w:tcPr>
            <w:tcW w:type="dxa" w:w="4310"/>
          </w:tcPr>
          <w:p>
            <w:pPr>
              <w:spacing w:after="0"/>
            </w:pPr>
            <w:r>
              <w:rPr>
                <w:sz w:val="18"/>
              </w:rPr>
              <w:t>"Core App functionality that does not use Cloud Storage keeps your project data entirely within your local browser; the Apps do not send project data to the Operator or any third party" (</w:t>
            </w:r>
            <w:hyperlink r:id="rId13">
              <w:r>
                <w:rPr>
                  <w:color w:val="1d4ed8"/>
                  <w:sz w:val="18"/>
                  <w:u w:val="single"/>
                </w:rPr>
                <w:t xml:space="preserve">Privacy</w:t>
              </w:r>
            </w:hyperlink>
            <w:r>
              <w:rPr>
                <w:sz w:val="18"/>
              </w:rPr>
              <w:t xml:space="preserve"> §1)</w:t>
            </w:r>
          </w:p>
        </w:tc>
        <w:tc>
          <w:tcPr>
            <w:tcW w:type="dxa" w:w="4457"/>
          </w:tcPr>
          <w:p>
            <w:pPr>
              <w:spacing w:after="0"/>
            </w:pPr>
            <w:r>
              <w:rPr>
                <w:sz w:val="18"/>
                <w:highlight w:val="yellow"/>
              </w:rPr>
              <w:t>[REQUIREMENT / FINDING]</w:t>
            </w:r>
          </w:p>
        </w:tc>
      </w:tr>
      <w:tr>
        <w:trPr>
          <w:cantSplit/>
        </w:trPr>
        <w:tc>
          <w:tcPr>
            <w:tcW w:type="dxa" w:w="1601"/>
            <w:shd w:val="clear" w:color="auto" w:fill="f1f5f9"/>
          </w:tcPr>
          <w:p>
            <w:pPr>
              <w:spacing w:after="0"/>
            </w:pPr>
            <w:r>
              <w:rPr>
                <w:sz w:val="18"/>
              </w:rPr>
              <w:t>Tier 2 personal data</w:t>
            </w:r>
          </w:p>
        </w:tc>
        <w:tc>
          <w:tcPr>
            <w:tcW w:type="dxa" w:w="4310"/>
            <w:shd w:val="clear" w:color="auto" w:fill="f1f5f9"/>
          </w:tcPr>
          <w:p>
            <w:pPr>
              <w:spacing w:after="0"/>
            </w:pPr>
            <w:r>
              <w:rPr>
                <w:sz w:val="18"/>
              </w:rPr>
              <w:t>Name, email and profile-photo link from the Google or Microsoft account, with the time the profile was last updated; record of the Terms version accepted, the sign-in provider and the first app used; IP address, browser and timestamps collected by Firebase, which keeps logged IP addresses for a few weeks (</w:t>
            </w:r>
            <w:hyperlink r:id="rId13">
              <w:r>
                <w:rPr>
                  <w:color w:val="1d4ed8"/>
                  <w:sz w:val="18"/>
                  <w:u w:val="single"/>
                </w:rPr>
                <w:t xml:space="preserve">Privacy</w:t>
              </w:r>
            </w:hyperlink>
            <w:r>
              <w:rPr>
                <w:sz w:val="18"/>
              </w:rPr>
              <w:t xml:space="preserve"> §2.1, §2.3). Sharing stores invitee and inviter emails (§2.6)</w:t>
            </w:r>
          </w:p>
        </w:tc>
        <w:tc>
          <w:tcPr>
            <w:tcW w:type="dxa" w:w="4457"/>
            <w:shd w:val="clear" w:color="auto" w:fill="f1f5f9"/>
          </w:tcPr>
          <w:p>
            <w:pPr>
              <w:spacing w:after="0"/>
            </w:pPr>
            <w:r>
              <w:rPr>
                <w:sz w:val="18"/>
                <w:highlight w:val="yellow"/>
              </w:rPr>
              <w:t>[REQUIREMENT / FINDING]</w:t>
            </w:r>
          </w:p>
        </w:tc>
      </w:tr>
      <w:tr>
        <w:trPr>
          <w:cantSplit/>
        </w:trPr>
        <w:tc>
          <w:tcPr>
            <w:tcW w:type="dxa" w:w="1601"/>
          </w:tcPr>
          <w:p>
            <w:pPr>
              <w:spacing w:after="0"/>
            </w:pPr>
            <w:r>
              <w:rPr>
                <w:sz w:val="18"/>
              </w:rPr>
              <w:t>Tier 2 business data</w:t>
            </w:r>
          </w:p>
        </w:tc>
        <w:tc>
          <w:tcPr>
            <w:tcW w:type="dxa" w:w="4310"/>
          </w:tcPr>
          <w:p>
            <w:pPr>
              <w:spacing w:after="0"/>
            </w:pPr>
            <w:r>
              <w:rPr>
                <w:sz w:val="18"/>
              </w:rPr>
              <w:t>The projects a user saves: planning data such as estimates, task names, sprint parameters and schedule structure, including any free text the user enters (</w:t>
            </w:r>
            <w:hyperlink r:id="rId13">
              <w:r>
                <w:rPr>
                  <w:color w:val="1d4ed8"/>
                  <w:sz w:val="18"/>
                  <w:u w:val="single"/>
                </w:rPr>
                <w:t xml:space="preserve">Privacy</w:t>
              </w:r>
            </w:hyperlink>
            <w:r>
              <w:rPr>
                <w:sz w:val="18"/>
              </w:rPr>
              <w:t xml:space="preserve"> §2.2)</w:t>
            </w:r>
          </w:p>
        </w:tc>
        <w:tc>
          <w:tcPr>
            <w:tcW w:type="dxa" w:w="4457"/>
          </w:tcPr>
          <w:p>
            <w:pPr>
              <w:spacing w:after="0"/>
            </w:pPr>
            <w:r>
              <w:rPr>
                <w:sz w:val="18"/>
                <w:highlight w:val="yellow"/>
              </w:rPr>
              <w:t>[REQUIREMENT / FINDING]</w:t>
            </w:r>
          </w:p>
        </w:tc>
      </w:tr>
      <w:tr>
        <w:trPr>
          <w:cantSplit/>
        </w:trPr>
        <w:tc>
          <w:tcPr>
            <w:tcW w:type="dxa" w:w="1601"/>
            <w:shd w:val="clear" w:color="auto" w:fill="f1f5f9"/>
          </w:tcPr>
          <w:p>
            <w:pPr>
              <w:spacing w:after="0"/>
            </w:pPr>
            <w:r>
              <w:rPr>
                <w:sz w:val="18"/>
              </w:rPr>
              <w:t>Prohibited data</w:t>
            </w:r>
          </w:p>
        </w:tc>
        <w:tc>
          <w:tcPr>
            <w:tcW w:type="dxa" w:w="4310"/>
            <w:shd w:val="clear" w:color="auto" w:fill="f1f5f9"/>
          </w:tcPr>
          <w:p>
            <w:pPr>
              <w:spacing w:after="0"/>
            </w:pPr>
            <w:r>
              <w:rPr>
                <w:sz w:val="18"/>
              </w:rPr>
              <w:t>Third-party personal information, protected health information, payment card data, government ID numbers "or other sensitive or regulated data" (</w:t>
            </w:r>
            <w:hyperlink r:id="rId12">
              <w:r>
                <w:rPr>
                  <w:color w:val="1d4ed8"/>
                  <w:sz w:val="18"/>
                  <w:u w:val="single"/>
                </w:rPr>
                <w:t xml:space="preserve">ToS</w:t>
              </w:r>
            </w:hyperlink>
            <w:r>
              <w:rPr>
                <w:sz w:val="18"/>
              </w:rPr>
              <w:t xml:space="preserve"> §5.3). The apps do not detect such data technically</w:t>
            </w:r>
          </w:p>
        </w:tc>
        <w:tc>
          <w:tcPr>
            <w:tcW w:type="dxa" w:w="4457"/>
            <w:shd w:val="clear" w:color="auto" w:fill="f1f5f9"/>
          </w:tcPr>
          <w:p>
            <w:pPr>
              <w:spacing w:after="0"/>
            </w:pPr>
            <w:r>
              <w:rPr>
                <w:sz w:val="18"/>
              </w:rPr>
              <w:t xml:space="preserve">Permitted classification: </w:t>
            </w:r>
            <w:r>
              <w:rPr>
                <w:sz w:val="18"/>
                <w:highlight w:val="yellow"/>
              </w:rPr>
              <w:t>[CLASSIFICATION]</w:t>
            </w:r>
            <w:r>
              <w:rPr>
                <w:sz w:val="18"/>
              </w:rPr>
              <w:t xml:space="preserve">. Prohibited: </w:t>
            </w:r>
            <w:r>
              <w:rPr>
                <w:sz w:val="18"/>
                <w:highlight w:val="yellow"/>
              </w:rPr>
              <w:t>[CLASSIFICATION]</w:t>
            </w:r>
          </w:p>
        </w:tc>
      </w:tr>
      <w:tr>
        <w:trPr>
          <w:cantSplit/>
        </w:trPr>
        <w:tc>
          <w:tcPr>
            <w:tcW w:type="dxa" w:w="1601"/>
          </w:tcPr>
          <w:p>
            <w:pPr>
              <w:spacing w:after="0"/>
            </w:pPr>
            <w:r>
              <w:rPr>
                <w:sz w:val="18"/>
              </w:rPr>
              <w:t>Tracking</w:t>
            </w:r>
          </w:p>
        </w:tc>
        <w:tc>
          <w:tcPr>
            <w:tcW w:type="dxa" w:w="4310"/>
          </w:tcPr>
          <w:p>
            <w:pPr>
              <w:spacing w:after="0"/>
            </w:pPr>
            <w:r>
              <w:rPr>
                <w:sz w:val="18"/>
              </w:rPr>
              <w:t>No analytics, telemetry or advertising; no tracking cookies; authentication cookies only when cloud storage is enabled (</w:t>
            </w:r>
            <w:hyperlink r:id="rId13">
              <w:r>
                <w:rPr>
                  <w:color w:val="1d4ed8"/>
                  <w:sz w:val="18"/>
                  <w:u w:val="single"/>
                </w:rPr>
                <w:t xml:space="preserve">Privacy</w:t>
              </w:r>
            </w:hyperlink>
            <w:r>
              <w:rPr>
                <w:sz w:val="18"/>
              </w:rPr>
              <w:t xml:space="preserve"> §3, §7.7)</w:t>
            </w:r>
          </w:p>
        </w:tc>
        <w:tc>
          <w:tcPr>
            <w:tcW w:type="dxa" w:w="4457"/>
          </w:tcPr>
          <w:p>
            <w:pPr>
              <w:spacing w:after="0"/>
            </w:pPr>
            <w:r>
              <w:rPr>
                <w:sz w:val="18"/>
                <w:highlight w:val="yellow"/>
              </w:rPr>
              <w:t>[REQUIREMENT / FINDING]</w:t>
            </w:r>
          </w:p>
        </w:tc>
      </w:tr>
    </w:tbl>
    <w:p>
      <w:pPr>
        <w:spacing w:after="40"/>
      </w:pPr>
    </w:p>
    <w:p>
      <w:pPr>
        <w:pStyle w:val="Heading2"/>
      </w:pPr>
      <w:r>
        <w:rPr/>
        <w:t>4. Hosting and data location</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021"/>
        <w:gridCol w:w="5761"/>
        <w:gridCol w:w="2586"/>
      </w:tblGrid>
      <w:tr>
        <w:trPr>
          <w:cantSplit/>
          <w:tblHeader w:val="true"/>
        </w:trPr>
        <w:tc>
          <w:tcPr>
            <w:tcW w:type="dxa" w:w="2021"/>
            <w:shd w:val="clear" w:color="auto" w:fill="1d4ed8"/>
          </w:tcPr>
          <w:p>
            <w:pPr>
              <w:spacing w:after="0"/>
            </w:pPr>
            <w:r>
              <w:rPr>
                <w:b/>
                <w:color w:val="FFFFFF"/>
                <w:sz w:val="18"/>
              </w:rPr>
              <w:t>Topic</w:t>
            </w:r>
          </w:p>
        </w:tc>
        <w:tc>
          <w:tcPr>
            <w:tcW w:type="dxa" w:w="5761"/>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586"/>
            <w:shd w:val="clear" w:color="auto" w:fill="1d4ed8"/>
          </w:tcPr>
          <w:p>
            <w:pPr>
              <w:spacing w:after="0"/>
            </w:pPr>
            <w:r>
              <w:rPr>
                <w:b/>
                <w:color w:val="FFFFFF"/>
                <w:sz w:val="18"/>
              </w:rPr>
              <w:t>Requirement and finding</w:t>
            </w:r>
          </w:p>
        </w:tc>
      </w:tr>
      <w:tr>
        <w:trPr>
          <w:cantSplit/>
        </w:trPr>
        <w:tc>
          <w:tcPr>
            <w:tcW w:type="dxa" w:w="2021"/>
          </w:tcPr>
          <w:p>
            <w:pPr>
              <w:spacing w:after="0"/>
            </w:pPr>
            <w:r>
              <w:rPr>
                <w:sz w:val="18"/>
              </w:rPr>
              <w:t>Web hosting</w:t>
            </w:r>
          </w:p>
        </w:tc>
        <w:tc>
          <w:tcPr>
            <w:tcW w:type="dxa" w:w="5761"/>
          </w:tcPr>
          <w:p>
            <w:pPr>
              <w:spacing w:after="0"/>
            </w:pPr>
            <w:r>
              <w:rPr>
                <w:sz w:val="18"/>
              </w:rPr>
              <w:t>Vercel Inc. serves the pages and receives standard request data (</w:t>
            </w:r>
            <w:hyperlink r:id="rId13">
              <w:r>
                <w:rPr>
                  <w:color w:val="1d4ed8"/>
                  <w:sz w:val="18"/>
                  <w:u w:val="single"/>
                </w:rPr>
                <w:t xml:space="preserve">Privacy</w:t>
              </w:r>
            </w:hyperlink>
            <w:r>
              <w:rPr>
                <w:sz w:val="18"/>
              </w:rPr>
              <w:t xml:space="preserve"> §1, §4.6)</w:t>
            </w:r>
          </w:p>
        </w:tc>
        <w:tc>
          <w:tcPr>
            <w:tcW w:type="dxa" w:w="2586"/>
          </w:tcPr>
          <w:p>
            <w:pPr>
              <w:spacing w:after="0"/>
            </w:pPr>
            <w:r>
              <w:rPr>
                <w:sz w:val="18"/>
                <w:highlight w:val="yellow"/>
              </w:rPr>
              <w:t>[REQUIREMENT / FINDING]</w:t>
            </w:r>
          </w:p>
        </w:tc>
      </w:tr>
      <w:tr>
        <w:trPr>
          <w:cantSplit/>
        </w:trPr>
        <w:tc>
          <w:tcPr>
            <w:tcW w:type="dxa" w:w="2021"/>
            <w:shd w:val="clear" w:color="auto" w:fill="f1f5f9"/>
          </w:tcPr>
          <w:p>
            <w:pPr>
              <w:spacing w:after="0"/>
            </w:pPr>
            <w:r>
              <w:rPr>
                <w:sz w:val="18"/>
              </w:rPr>
              <w:t>Cloud data at rest</w:t>
            </w:r>
          </w:p>
        </w:tc>
        <w:tc>
          <w:tcPr>
            <w:tcW w:type="dxa" w:w="5761"/>
            <w:shd w:val="clear" w:color="auto" w:fill="f1f5f9"/>
          </w:tcPr>
          <w:p>
            <w:pPr>
              <w:spacing w:after="0"/>
            </w:pPr>
            <w:r>
              <w:rPr>
                <w:sz w:val="18"/>
              </w:rPr>
              <w:t>"Cloud Storage data and AI Connectivity relay data are currently stored at rest in the United States (Google Cloud Firestore multi-region nam5)" (</w:t>
            </w:r>
            <w:hyperlink r:id="rId13">
              <w:r>
                <w:rPr>
                  <w:color w:val="1d4ed8"/>
                  <w:sz w:val="18"/>
                  <w:u w:val="single"/>
                </w:rPr>
                <w:t xml:space="preserve">Privacy</w:t>
              </w:r>
            </w:hyperlink>
            <w:r>
              <w:rPr>
                <w:sz w:val="18"/>
              </w:rPr>
              <w:t xml:space="preserve"> §9). The operator "will give notice by updating this Policy before changing that location" (§9)</w:t>
            </w:r>
          </w:p>
        </w:tc>
        <w:tc>
          <w:tcPr>
            <w:tcW w:type="dxa" w:w="2586"/>
            <w:shd w:val="clear" w:color="auto" w:fill="f1f5f9"/>
          </w:tcPr>
          <w:p>
            <w:pPr>
              <w:spacing w:after="0"/>
            </w:pPr>
            <w:r>
              <w:rPr>
                <w:sz w:val="18"/>
                <w:highlight w:val="yellow"/>
              </w:rPr>
              <w:t>[REQUIREMENT / FINDING]</w:t>
            </w:r>
          </w:p>
        </w:tc>
      </w:tr>
      <w:tr>
        <w:trPr>
          <w:cantSplit/>
        </w:trPr>
        <w:tc>
          <w:tcPr>
            <w:tcW w:type="dxa" w:w="2021"/>
          </w:tcPr>
          <w:p>
            <w:pPr>
              <w:spacing w:after="0"/>
            </w:pPr>
            <w:r>
              <w:rPr>
                <w:sz w:val="18"/>
              </w:rPr>
              <w:t>Server functions</w:t>
            </w:r>
          </w:p>
        </w:tc>
        <w:tc>
          <w:tcPr>
            <w:tcW w:type="dxa" w:w="5761"/>
          </w:tcPr>
          <w:p>
            <w:pPr>
              <w:spacing w:after="0"/>
            </w:pPr>
            <w:r>
              <w:rPr>
                <w:sz w:val="18"/>
              </w:rPr>
              <w:t xml:space="preserve">Google Cloud Functions in </w:t>
            </w:r>
            <w:r>
              <w:rPr>
                <w:rFonts w:ascii="Consolas" w:hAnsi="Consolas"/>
                <w:sz w:val="16"/>
              </w:rPr>
              <w:t>us-central1</w:t>
            </w:r>
            <w:r>
              <w:rPr>
                <w:sz w:val="18"/>
              </w:rPr>
              <w:t xml:space="preserve"> (</w:t>
            </w:r>
            <w:hyperlink r:id="rId14">
              <w:r>
                <w:rPr>
                  <w:color w:val="1d4ed8"/>
                  <w:sz w:val="18"/>
                  <w:u w:val="single"/>
                </w:rPr>
                <w:t xml:space="preserve">AI Privacy Notice</w:t>
              </w:r>
            </w:hyperlink>
            <w:r>
              <w:rPr>
                <w:sz w:val="18"/>
              </w:rPr>
              <w:t xml:space="preserve"> §5; code)</w:t>
            </w:r>
          </w:p>
        </w:tc>
        <w:tc>
          <w:tcPr>
            <w:tcW w:type="dxa" w:w="2586"/>
          </w:tcPr>
          <w:p>
            <w:pPr>
              <w:spacing w:after="0"/>
            </w:pPr>
            <w:r>
              <w:rPr>
                <w:sz w:val="18"/>
                <w:highlight w:val="yellow"/>
              </w:rPr>
              <w:t>[REQUIREMENT / FINDING]</w:t>
            </w:r>
          </w:p>
        </w:tc>
      </w:tr>
      <w:tr>
        <w:trPr>
          <w:cantSplit/>
        </w:trPr>
        <w:tc>
          <w:tcPr>
            <w:tcW w:type="dxa" w:w="2021"/>
            <w:shd w:val="clear" w:color="auto" w:fill="f1f5f9"/>
          </w:tcPr>
          <w:p>
            <w:pPr>
              <w:spacing w:after="0"/>
            </w:pPr>
            <w:r>
              <w:rPr>
                <w:sz w:val="18"/>
              </w:rPr>
              <w:t>Processing elsewhere</w:t>
            </w:r>
          </w:p>
        </w:tc>
        <w:tc>
          <w:tcPr>
            <w:tcW w:type="dxa" w:w="5761"/>
            <w:shd w:val="clear" w:color="auto" w:fill="f1f5f9"/>
          </w:tcPr>
          <w:p>
            <w:pPr>
              <w:spacing w:after="0"/>
            </w:pPr>
            <w:r>
              <w:rPr>
                <w:sz w:val="18"/>
              </w:rPr>
              <w:t>Operational logs are kept 30 days in Google Cloud Logging, "whose default storage location is not restricted to a specific country or region" (</w:t>
            </w:r>
            <w:hyperlink r:id="rId13">
              <w:r>
                <w:rPr>
                  <w:color w:val="1d4ed8"/>
                  <w:sz w:val="18"/>
                  <w:u w:val="single"/>
                </w:rPr>
                <w:t xml:space="preserve">Privacy</w:t>
              </w:r>
            </w:hyperlink>
            <w:r>
              <w:rPr>
                <w:sz w:val="18"/>
              </w:rPr>
              <w:t xml:space="preserve"> §2.3); Google's authentication, security and support operations "may involve processing elsewhere" (§9)</w:t>
            </w:r>
          </w:p>
        </w:tc>
        <w:tc>
          <w:tcPr>
            <w:tcW w:type="dxa" w:w="2586"/>
            <w:shd w:val="clear" w:color="auto" w:fill="f1f5f9"/>
          </w:tcPr>
          <w:p>
            <w:pPr>
              <w:spacing w:after="0"/>
            </w:pPr>
            <w:r>
              <w:rPr>
                <w:sz w:val="18"/>
                <w:highlight w:val="yellow"/>
              </w:rPr>
              <w:t>[REQUIREMENT / FINDING]</w:t>
            </w:r>
          </w:p>
        </w:tc>
      </w:tr>
      <w:tr>
        <w:trPr>
          <w:cantSplit/>
        </w:trPr>
        <w:tc>
          <w:tcPr>
            <w:tcW w:type="dxa" w:w="2021"/>
          </w:tcPr>
          <w:p>
            <w:pPr>
              <w:spacing w:after="0"/>
            </w:pPr>
            <w:r>
              <w:rPr>
                <w:sz w:val="18"/>
              </w:rPr>
              <w:t>Region choice</w:t>
            </w:r>
          </w:p>
        </w:tc>
        <w:tc>
          <w:tcPr>
            <w:tcW w:type="dxa" w:w="5761"/>
          </w:tcPr>
          <w:p>
            <w:pPr>
              <w:spacing w:after="0"/>
            </w:pPr>
            <w:r>
              <w:rPr>
                <w:sz w:val="18"/>
              </w:rPr>
              <w:t>None: US only</w:t>
            </w:r>
          </w:p>
        </w:tc>
        <w:tc>
          <w:tcPr>
            <w:tcW w:type="dxa" w:w="2586"/>
          </w:tcPr>
          <w:p>
            <w:pPr>
              <w:spacing w:after="0"/>
            </w:pPr>
            <w:r>
              <w:rPr>
                <w:sz w:val="18"/>
                <w:highlight w:val="yellow"/>
              </w:rPr>
              <w:t>[REQUIREMENT / FINDING]</w:t>
            </w:r>
          </w:p>
        </w:tc>
      </w:tr>
    </w:tbl>
    <w:p>
      <w:pPr>
        <w:spacing w:after="40"/>
      </w:pPr>
    </w:p>
    <w:p>
      <w:pPr>
        <w:pStyle w:val="Heading2"/>
      </w:pPr>
      <w:r>
        <w:rPr/>
        <w:t>5. Identity and access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996"/>
        <w:gridCol w:w="4818"/>
        <w:gridCol w:w="2554"/>
      </w:tblGrid>
      <w:tr>
        <w:trPr>
          <w:cantSplit/>
          <w:tblHeader w:val="true"/>
        </w:trPr>
        <w:tc>
          <w:tcPr>
            <w:tcW w:type="dxa" w:w="2996"/>
            <w:shd w:val="clear" w:color="auto" w:fill="1d4ed8"/>
          </w:tcPr>
          <w:p>
            <w:pPr>
              <w:spacing w:after="0"/>
            </w:pPr>
            <w:r>
              <w:rPr>
                <w:b/>
                <w:color w:val="FFFFFF"/>
                <w:sz w:val="18"/>
              </w:rPr>
              <w:t>Topic</w:t>
            </w:r>
          </w:p>
        </w:tc>
        <w:tc>
          <w:tcPr>
            <w:tcW w:type="dxa" w:w="4818"/>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554"/>
            <w:shd w:val="clear" w:color="auto" w:fill="1d4ed8"/>
          </w:tcPr>
          <w:p>
            <w:pPr>
              <w:spacing w:after="0"/>
            </w:pPr>
            <w:r>
              <w:rPr>
                <w:b/>
                <w:color w:val="FFFFFF"/>
                <w:sz w:val="18"/>
              </w:rPr>
              <w:t>Requirement and finding</w:t>
            </w:r>
          </w:p>
        </w:tc>
      </w:tr>
      <w:tr>
        <w:trPr>
          <w:cantSplit/>
        </w:trPr>
        <w:tc>
          <w:tcPr>
            <w:tcW w:type="dxa" w:w="2996"/>
          </w:tcPr>
          <w:p>
            <w:pPr>
              <w:spacing w:after="0"/>
            </w:pPr>
            <w:r>
              <w:rPr>
                <w:sz w:val="18"/>
              </w:rPr>
              <w:t>Sign-in</w:t>
            </w:r>
          </w:p>
        </w:tc>
        <w:tc>
          <w:tcPr>
            <w:tcW w:type="dxa" w:w="4818"/>
          </w:tcPr>
          <w:p>
            <w:pPr>
              <w:spacing w:after="0"/>
            </w:pPr>
            <w:r>
              <w:rPr>
                <w:sz w:val="18"/>
              </w:rPr>
              <w:t>Tier 1 needs no account. Tier 2 uses Google Sign-In or Microsoft Sign-In only, "including Microsoft Entra ID / Azure AD organizational accounts" (</w:t>
            </w:r>
            <w:hyperlink r:id="rId13">
              <w:r>
                <w:rPr>
                  <w:color w:val="1d4ed8"/>
                  <w:sz w:val="18"/>
                  <w:u w:val="single"/>
                </w:rPr>
                <w:t xml:space="preserve">Privacy</w:t>
              </w:r>
            </w:hyperlink>
            <w:r>
              <w:rPr>
                <w:sz w:val="18"/>
              </w:rPr>
              <w:t xml:space="preserve"> §2.1). No passwords are stored</w:t>
            </w:r>
          </w:p>
        </w:tc>
        <w:tc>
          <w:tcPr>
            <w:tcW w:type="dxa" w:w="2554"/>
          </w:tcPr>
          <w:p>
            <w:pPr>
              <w:spacing w:after="0"/>
            </w:pPr>
            <w:r>
              <w:rPr>
                <w:sz w:val="18"/>
                <w:highlight w:val="yellow"/>
              </w:rPr>
              <w:t>[REQUIREMENT / FINDING]</w:t>
            </w:r>
          </w:p>
        </w:tc>
      </w:tr>
      <w:tr>
        <w:trPr>
          <w:cantSplit/>
        </w:trPr>
        <w:tc>
          <w:tcPr>
            <w:tcW w:type="dxa" w:w="2996"/>
            <w:shd w:val="clear" w:color="auto" w:fill="f1f5f9"/>
          </w:tcPr>
          <w:p>
            <w:pPr>
              <w:spacing w:after="0"/>
            </w:pPr>
            <w:r>
              <w:rPr>
                <w:sz w:val="18"/>
              </w:rPr>
              <w:t>MFA and conditional access</w:t>
            </w:r>
          </w:p>
        </w:tc>
        <w:tc>
          <w:tcPr>
            <w:tcW w:type="dxa" w:w="4818"/>
            <w:shd w:val="clear" w:color="auto" w:fill="f1f5f9"/>
          </w:tcPr>
          <w:p>
            <w:pPr>
              <w:spacing w:after="0"/>
            </w:pPr>
            <w:r>
              <w:rPr>
                <w:sz w:val="18"/>
              </w:rPr>
              <w:t xml:space="preserve">Inherited from </w:t>
            </w:r>
            <w:r>
              <w:rPr>
                <w:sz w:val="18"/>
                <w:highlight w:val="yellow"/>
              </w:rPr>
              <w:t>[ORGANIZATION]</w:t>
            </w:r>
            <w:r>
              <w:rPr>
                <w:sz w:val="18"/>
              </w:rPr>
              <w:t>'s identity provider when users sign in with work accounts; no MFA setting in the apps</w:t>
            </w:r>
          </w:p>
        </w:tc>
        <w:tc>
          <w:tcPr>
            <w:tcW w:type="dxa" w:w="2554"/>
            <w:shd w:val="clear" w:color="auto" w:fill="f1f5f9"/>
          </w:tcPr>
          <w:p>
            <w:pPr>
              <w:spacing w:after="0"/>
            </w:pPr>
            <w:r>
              <w:rPr>
                <w:sz w:val="18"/>
                <w:highlight w:val="yellow"/>
              </w:rPr>
              <w:t>[REQUIREMENT / FINDING]</w:t>
            </w:r>
          </w:p>
        </w:tc>
      </w:tr>
      <w:tr>
        <w:trPr>
          <w:cantSplit/>
        </w:trPr>
        <w:tc>
          <w:tcPr>
            <w:tcW w:type="dxa" w:w="2996"/>
          </w:tcPr>
          <w:p>
            <w:pPr>
              <w:spacing w:after="0"/>
            </w:pPr>
            <w:r>
              <w:rPr>
                <w:sz w:val="18"/>
              </w:rPr>
              <w:t>Microsoft admin consent</w:t>
            </w:r>
          </w:p>
        </w:tc>
        <w:tc>
          <w:tcPr>
            <w:tcW w:type="dxa" w:w="4818"/>
          </w:tcPr>
          <w:p>
            <w:pPr>
              <w:spacing w:after="0"/>
            </w:pPr>
            <w:r>
              <w:rPr>
                <w:sz w:val="18"/>
              </w:rPr>
              <w:t>The SPERT</w:t>
            </w:r>
            <w:r>
              <w:rPr>
                <w:sz w:val="18"/>
                <w:vertAlign w:val="superscript"/>
              </w:rPr>
              <w:t>®</w:t>
            </w:r>
            <w:r>
              <w:rPr>
                <w:sz w:val="18"/>
              </w:rPr>
              <w:t xml:space="preserve"> Suite sign-in app is not yet a Microsoft "verified publisher": where Entra ID lets users consent only to verified publishers' apps, staff see "Need admin approval" and an administrator must grant consent first (operator's statement, 2026-10-25). Alternatives: Google sign-in, or tier 1 only</w:t>
            </w:r>
          </w:p>
        </w:tc>
        <w:tc>
          <w:tcPr>
            <w:tcW w:type="dxa" w:w="2554"/>
          </w:tcPr>
          <w:p>
            <w:pPr>
              <w:spacing w:after="0"/>
            </w:pPr>
            <w:r>
              <w:rPr>
                <w:sz w:val="18"/>
                <w:highlight w:val="yellow"/>
              </w:rPr>
              <w:t>[REQUIRED / NOT REQUIRED]</w:t>
            </w:r>
          </w:p>
        </w:tc>
      </w:tr>
      <w:tr>
        <w:trPr>
          <w:cantSplit/>
        </w:trPr>
        <w:tc>
          <w:tcPr>
            <w:tcW w:type="dxa" w:w="2996"/>
            <w:shd w:val="clear" w:color="auto" w:fill="f1f5f9"/>
          </w:tcPr>
          <w:p>
            <w:pPr>
              <w:spacing w:after="0"/>
            </w:pPr>
            <w:r>
              <w:rPr>
                <w:sz w:val="18"/>
              </w:rPr>
              <w:t>SSO enforcement, SCIM, admin console</w:t>
            </w:r>
          </w:p>
        </w:tc>
        <w:tc>
          <w:tcPr>
            <w:tcW w:type="dxa" w:w="4818"/>
            <w:shd w:val="clear" w:color="auto" w:fill="f1f5f9"/>
          </w:tcPr>
          <w:p>
            <w:pPr>
              <w:spacing w:after="0"/>
            </w:pPr>
            <w:r>
              <w:rPr>
                <w:sz w:val="18"/>
              </w:rPr>
              <w:t xml:space="preserve">Not provided. </w:t>
            </w:r>
            <w:r>
              <w:rPr>
                <w:sz w:val="18"/>
                <w:highlight w:val="yellow"/>
              </w:rPr>
              <w:t>[ORGANIZATION]</w:t>
            </w:r>
            <w:r>
              <w:rPr>
                <w:sz w:val="18"/>
              </w:rPr>
              <w:t xml:space="preserve"> cannot force users onto its tenant or manage users centrally</w:t>
            </w:r>
          </w:p>
        </w:tc>
        <w:tc>
          <w:tcPr>
            <w:tcW w:type="dxa" w:w="2554"/>
            <w:shd w:val="clear" w:color="auto" w:fill="f1f5f9"/>
          </w:tcPr>
          <w:p>
            <w:pPr>
              <w:spacing w:after="0"/>
            </w:pPr>
            <w:r>
              <w:rPr>
                <w:sz w:val="18"/>
                <w:highlight w:val="yellow"/>
              </w:rPr>
              <w:t>[REQUIREMENT / FINDING]</w:t>
            </w:r>
          </w:p>
        </w:tc>
      </w:tr>
      <w:tr>
        <w:trPr>
          <w:cantSplit/>
        </w:trPr>
        <w:tc>
          <w:tcPr>
            <w:tcW w:type="dxa" w:w="2996"/>
          </w:tcPr>
          <w:p>
            <w:pPr>
              <w:spacing w:after="0"/>
            </w:pPr>
            <w:r>
              <w:rPr>
                <w:sz w:val="18"/>
              </w:rPr>
              <w:t>Access control</w:t>
            </w:r>
          </w:p>
        </w:tc>
        <w:tc>
          <w:tcPr>
            <w:tcW w:type="dxa" w:w="4818"/>
          </w:tcPr>
          <w:p>
            <w:pPr>
              <w:spacing w:after="0"/>
            </w:pPr>
            <w:r>
              <w:rPr>
                <w:sz w:val="18"/>
              </w:rPr>
              <w:t>Firestore security rules: users list and read only projects they are members of, by role (owner, editor, viewer); only owners delete; settings are private to each user (</w:t>
            </w:r>
            <w:r>
              <w:rPr>
                <w:i/>
                <w:sz w:val="18"/>
              </w:rPr>
              <w:t>Architecture Overview</w:t>
            </w:r>
            <w:r>
              <w:rPr>
                <w:sz w:val="18"/>
              </w:rPr>
              <w:t xml:space="preserve"> §3). Rules are kept in source control, deployed automatically and checked for drift every six hours</w:t>
            </w:r>
          </w:p>
        </w:tc>
        <w:tc>
          <w:tcPr>
            <w:tcW w:type="dxa" w:w="2554"/>
          </w:tcPr>
          <w:p>
            <w:pPr>
              <w:spacing w:after="0"/>
            </w:pPr>
            <w:r>
              <w:rPr>
                <w:sz w:val="18"/>
                <w:highlight w:val="yellow"/>
              </w:rPr>
              <w:t>[REQUIREMENT / FINDING]</w:t>
            </w:r>
          </w:p>
        </w:tc>
      </w:tr>
      <w:tr>
        <w:trPr>
          <w:cantSplit/>
        </w:trPr>
        <w:tc>
          <w:tcPr>
            <w:tcW w:type="dxa" w:w="2996"/>
            <w:shd w:val="clear" w:color="auto" w:fill="f1f5f9"/>
          </w:tcPr>
          <w:p>
            <w:pPr>
              <w:spacing w:after="0"/>
            </w:pPr>
            <w:r>
              <w:rPr>
                <w:sz w:val="18"/>
              </w:rPr>
              <w:t>Tenant isolation</w:t>
            </w:r>
          </w:p>
        </w:tc>
        <w:tc>
          <w:tcPr>
            <w:tcW w:type="dxa" w:w="4818"/>
            <w:shd w:val="clear" w:color="auto" w:fill="f1f5f9"/>
          </w:tcPr>
          <w:p>
            <w:pPr>
              <w:spacing w:after="0"/>
            </w:pPr>
            <w:r>
              <w:rPr>
                <w:sz w:val="18"/>
              </w:rPr>
              <w:t>One multi-tenant database, separated logically by authentication and rules (</w:t>
            </w:r>
            <w:hyperlink r:id="rId12">
              <w:r>
                <w:rPr>
                  <w:color w:val="1d4ed8"/>
                  <w:sz w:val="18"/>
                  <w:u w:val="single"/>
                </w:rPr>
                <w:t xml:space="preserve">ToS</w:t>
              </w:r>
            </w:hyperlink>
            <w:r>
              <w:rPr>
                <w:sz w:val="18"/>
              </w:rPr>
              <w:t xml:space="preserve"> §5.2)</w:t>
            </w:r>
          </w:p>
        </w:tc>
        <w:tc>
          <w:tcPr>
            <w:tcW w:type="dxa" w:w="2554"/>
            <w:shd w:val="clear" w:color="auto" w:fill="f1f5f9"/>
          </w:tcPr>
          <w:p>
            <w:pPr>
              <w:spacing w:after="0"/>
            </w:pPr>
            <w:r>
              <w:rPr>
                <w:sz w:val="18"/>
                <w:highlight w:val="yellow"/>
              </w:rPr>
              <w:t>[REQUIREMENT / FINDING]</w:t>
            </w:r>
          </w:p>
        </w:tc>
      </w:tr>
      <w:tr>
        <w:trPr>
          <w:cantSplit/>
        </w:trPr>
        <w:tc>
          <w:tcPr>
            <w:tcW w:type="dxa" w:w="2996"/>
          </w:tcPr>
          <w:p>
            <w:pPr>
              <w:spacing w:after="0"/>
            </w:pPr>
            <w:r>
              <w:rPr>
                <w:sz w:val="18"/>
              </w:rPr>
              <w:t>Operator access</w:t>
            </w:r>
          </w:p>
        </w:tc>
        <w:tc>
          <w:tcPr>
            <w:tcW w:type="dxa" w:w="4818"/>
          </w:tcPr>
          <w:p>
            <w:pPr>
              <w:spacing w:after="0"/>
            </w:pPr>
            <w:r>
              <w:rPr>
                <w:sz w:val="18"/>
              </w:rPr>
              <w:t>The operator administers the cloud project and so has technical access to tier 2 data; licensed to host and back it up "solely as necessary to provide the Services" (</w:t>
            </w:r>
            <w:hyperlink r:id="rId12">
              <w:r>
                <w:rPr>
                  <w:color w:val="1d4ed8"/>
                  <w:sz w:val="18"/>
                  <w:u w:val="single"/>
                </w:rPr>
                <w:t xml:space="preserve">ToS</w:t>
              </w:r>
            </w:hyperlink>
            <w:r>
              <w:rPr>
                <w:sz w:val="18"/>
              </w:rPr>
              <w:t xml:space="preserve"> §5.6). No access-logging commitment. Tier 1 data is never accessible to the operator</w:t>
            </w:r>
          </w:p>
        </w:tc>
        <w:tc>
          <w:tcPr>
            <w:tcW w:type="dxa" w:w="2554"/>
          </w:tcPr>
          <w:p>
            <w:pPr>
              <w:spacing w:after="0"/>
            </w:pPr>
            <w:r>
              <w:rPr>
                <w:sz w:val="18"/>
                <w:highlight w:val="yellow"/>
              </w:rPr>
              <w:t>[REQUIREMENT / FINDING]</w:t>
            </w:r>
          </w:p>
        </w:tc>
      </w:tr>
      <w:tr>
        <w:trPr>
          <w:cantSplit/>
        </w:trPr>
        <w:tc>
          <w:tcPr>
            <w:tcW w:type="dxa" w:w="2996"/>
            <w:shd w:val="clear" w:color="auto" w:fill="f1f5f9"/>
          </w:tcPr>
          <w:p>
            <w:pPr>
              <w:spacing w:after="0"/>
            </w:pPr>
            <w:r>
              <w:rPr>
                <w:sz w:val="18"/>
              </w:rPr>
              <w:t>Shared computers</w:t>
            </w:r>
          </w:p>
        </w:tc>
        <w:tc>
          <w:tcPr>
            <w:tcW w:type="dxa" w:w="4818"/>
            <w:shd w:val="clear" w:color="auto" w:fill="f1f5f9"/>
          </w:tcPr>
          <w:p>
            <w:pPr>
              <w:spacing w:after="0"/>
            </w:pPr>
            <w:r>
              <w:rPr>
                <w:sz w:val="18"/>
              </w:rPr>
              <w:t>Local projects belong to the browser profile, so anyone using that profile can see them. Signing out resets the Terms acceptance flag in five apps (2026-10-25); in SPERT</w:t>
            </w:r>
            <w:r>
              <w:rPr>
                <w:sz w:val="18"/>
                <w:vertAlign w:val="superscript"/>
              </w:rPr>
              <w:t>®</w:t>
            </w:r>
            <w:r>
              <w:rPr>
                <w:sz w:val="18"/>
              </w:rPr>
              <w:t xml:space="preserve"> Scheduler acceptance is still remembered per browser</w:t>
            </w:r>
          </w:p>
        </w:tc>
        <w:tc>
          <w:tcPr>
            <w:tcW w:type="dxa" w:w="2554"/>
            <w:shd w:val="clear" w:color="auto" w:fill="f1f5f9"/>
          </w:tcPr>
          <w:p>
            <w:pPr>
              <w:spacing w:after="0"/>
            </w:pPr>
            <w:r>
              <w:rPr>
                <w:sz w:val="18"/>
                <w:highlight w:val="yellow"/>
              </w:rPr>
              <w:t>[REQUIREMENT / FINDING]</w:t>
            </w:r>
          </w:p>
        </w:tc>
      </w:tr>
    </w:tbl>
    <w:p>
      <w:pPr>
        <w:spacing w:after="40"/>
      </w:pPr>
    </w:p>
    <w:p>
      <w:pPr>
        <w:pStyle w:val="Heading2"/>
      </w:pPr>
      <w:r>
        <w:rPr/>
        <w:t>6. Encryption</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239"/>
        <w:gridCol w:w="5594"/>
        <w:gridCol w:w="2535"/>
      </w:tblGrid>
      <w:tr>
        <w:trPr>
          <w:cantSplit/>
          <w:tblHeader w:val="true"/>
        </w:trPr>
        <w:tc>
          <w:tcPr>
            <w:tcW w:type="dxa" w:w="2239"/>
            <w:shd w:val="clear" w:color="auto" w:fill="1d4ed8"/>
          </w:tcPr>
          <w:p>
            <w:pPr>
              <w:spacing w:after="0"/>
            </w:pPr>
            <w:r>
              <w:rPr>
                <w:b/>
                <w:color w:val="FFFFFF"/>
                <w:sz w:val="18"/>
              </w:rPr>
              <w:t>Topic</w:t>
            </w:r>
          </w:p>
        </w:tc>
        <w:tc>
          <w:tcPr>
            <w:tcW w:type="dxa" w:w="5594"/>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535"/>
            <w:shd w:val="clear" w:color="auto" w:fill="1d4ed8"/>
          </w:tcPr>
          <w:p>
            <w:pPr>
              <w:spacing w:after="0"/>
            </w:pPr>
            <w:r>
              <w:rPr>
                <w:b/>
                <w:color w:val="FFFFFF"/>
                <w:sz w:val="18"/>
              </w:rPr>
              <w:t>Requirement and finding</w:t>
            </w:r>
          </w:p>
        </w:tc>
      </w:tr>
      <w:tr>
        <w:trPr>
          <w:cantSplit/>
        </w:trPr>
        <w:tc>
          <w:tcPr>
            <w:tcW w:type="dxa" w:w="2239"/>
          </w:tcPr>
          <w:p>
            <w:pPr>
              <w:spacing w:after="0"/>
            </w:pPr>
            <w:r>
              <w:rPr>
                <w:sz w:val="18"/>
              </w:rPr>
              <w:t>In transit</w:t>
            </w:r>
          </w:p>
        </w:tc>
        <w:tc>
          <w:tcPr>
            <w:tcW w:type="dxa" w:w="5594"/>
          </w:tcPr>
          <w:p>
            <w:pPr>
              <w:spacing w:after="0"/>
            </w:pPr>
            <w:r>
              <w:rPr>
                <w:sz w:val="18"/>
              </w:rPr>
              <w:t>"HTTPS encryption for all data in transit" (</w:t>
            </w:r>
            <w:hyperlink r:id="rId13">
              <w:r>
                <w:rPr>
                  <w:color w:val="1d4ed8"/>
                  <w:sz w:val="18"/>
                  <w:u w:val="single"/>
                </w:rPr>
                <w:t xml:space="preserve">Privacy</w:t>
              </w:r>
            </w:hyperlink>
            <w:r>
              <w:rPr>
                <w:sz w:val="18"/>
              </w:rPr>
              <w:t xml:space="preserve"> §5)</w:t>
            </w:r>
          </w:p>
        </w:tc>
        <w:tc>
          <w:tcPr>
            <w:tcW w:type="dxa" w:w="2535"/>
          </w:tcPr>
          <w:p>
            <w:pPr>
              <w:spacing w:after="0"/>
            </w:pPr>
            <w:r>
              <w:rPr>
                <w:sz w:val="18"/>
                <w:highlight w:val="yellow"/>
              </w:rPr>
              <w:t>[REQUIREMENT / FINDING]</w:t>
            </w:r>
          </w:p>
        </w:tc>
      </w:tr>
      <w:tr>
        <w:trPr>
          <w:cantSplit/>
        </w:trPr>
        <w:tc>
          <w:tcPr>
            <w:tcW w:type="dxa" w:w="2239"/>
            <w:shd w:val="clear" w:color="auto" w:fill="f1f5f9"/>
          </w:tcPr>
          <w:p>
            <w:pPr>
              <w:spacing w:after="0"/>
            </w:pPr>
            <w:r>
              <w:rPr>
                <w:sz w:val="18"/>
              </w:rPr>
              <w:t>At rest</w:t>
            </w:r>
          </w:p>
        </w:tc>
        <w:tc>
          <w:tcPr>
            <w:tcW w:type="dxa" w:w="5594"/>
            <w:shd w:val="clear" w:color="auto" w:fill="f1f5f9"/>
          </w:tcPr>
          <w:p>
            <w:pPr>
              <w:spacing w:after="0"/>
            </w:pPr>
            <w:r>
              <w:rPr>
                <w:sz w:val="18"/>
              </w:rPr>
              <w:t>Relies on "Google Cloud's infrastructure-level security controls" (</w:t>
            </w:r>
            <w:hyperlink r:id="rId13">
              <w:r>
                <w:rPr>
                  <w:color w:val="1d4ed8"/>
                  <w:sz w:val="18"/>
                  <w:u w:val="single"/>
                </w:rPr>
                <w:t xml:space="preserve">Privacy</w:t>
              </w:r>
            </w:hyperlink>
            <w:r>
              <w:rPr>
                <w:sz w:val="18"/>
              </w:rPr>
              <w:t xml:space="preserve"> §5); no separate statement by the operator. Local data is protected only as well as the user's device</w:t>
            </w:r>
          </w:p>
        </w:tc>
        <w:tc>
          <w:tcPr>
            <w:tcW w:type="dxa" w:w="2535"/>
            <w:shd w:val="clear" w:color="auto" w:fill="f1f5f9"/>
          </w:tcPr>
          <w:p>
            <w:pPr>
              <w:spacing w:after="0"/>
            </w:pPr>
            <w:r>
              <w:rPr>
                <w:sz w:val="18"/>
                <w:highlight w:val="yellow"/>
              </w:rPr>
              <w:t>[REQUIREMENT / FINDING]</w:t>
            </w:r>
          </w:p>
        </w:tc>
      </w:tr>
      <w:tr>
        <w:trPr>
          <w:cantSplit/>
        </w:trPr>
        <w:tc>
          <w:tcPr>
            <w:tcW w:type="dxa" w:w="2239"/>
          </w:tcPr>
          <w:p>
            <w:pPr>
              <w:spacing w:after="0"/>
            </w:pPr>
            <w:r>
              <w:rPr>
                <w:sz w:val="18"/>
              </w:rPr>
              <w:t>Customer-managed keys</w:t>
            </w:r>
          </w:p>
        </w:tc>
        <w:tc>
          <w:tcPr>
            <w:tcW w:type="dxa" w:w="5594"/>
          </w:tcPr>
          <w:p>
            <w:pPr>
              <w:spacing w:after="0"/>
            </w:pPr>
            <w:r>
              <w:rPr>
                <w:sz w:val="18"/>
              </w:rPr>
              <w:t>Not supported</w:t>
            </w:r>
          </w:p>
        </w:tc>
        <w:tc>
          <w:tcPr>
            <w:tcW w:type="dxa" w:w="2535"/>
          </w:tcPr>
          <w:p>
            <w:pPr>
              <w:spacing w:after="0"/>
            </w:pPr>
            <w:r>
              <w:rPr>
                <w:sz w:val="18"/>
                <w:highlight w:val="yellow"/>
              </w:rPr>
              <w:t>[REQUIREMENT / FINDING]</w:t>
            </w:r>
          </w:p>
        </w:tc>
      </w:tr>
    </w:tbl>
    <w:p>
      <w:pPr>
        <w:spacing w:after="40"/>
      </w:pPr>
    </w:p>
    <w:p>
      <w:pPr>
        <w:pStyle w:val="Heading2"/>
      </w:pPr>
      <w:r>
        <w:rPr/>
        <w:t>7. Logging, monitoring and audit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622"/>
        <w:gridCol w:w="5278"/>
        <w:gridCol w:w="2468"/>
      </w:tblGrid>
      <w:tr>
        <w:trPr>
          <w:cantSplit/>
          <w:tblHeader w:val="true"/>
        </w:trPr>
        <w:tc>
          <w:tcPr>
            <w:tcW w:type="dxa" w:w="2622"/>
            <w:shd w:val="clear" w:color="auto" w:fill="1d4ed8"/>
          </w:tcPr>
          <w:p>
            <w:pPr>
              <w:spacing w:after="0"/>
            </w:pPr>
            <w:r>
              <w:rPr>
                <w:b/>
                <w:color w:val="FFFFFF"/>
                <w:sz w:val="18"/>
              </w:rPr>
              <w:t>Topic</w:t>
            </w:r>
          </w:p>
        </w:tc>
        <w:tc>
          <w:tcPr>
            <w:tcW w:type="dxa" w:w="5278"/>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468"/>
            <w:shd w:val="clear" w:color="auto" w:fill="1d4ed8"/>
          </w:tcPr>
          <w:p>
            <w:pPr>
              <w:spacing w:after="0"/>
            </w:pPr>
            <w:r>
              <w:rPr>
                <w:b/>
                <w:color w:val="FFFFFF"/>
                <w:sz w:val="18"/>
              </w:rPr>
              <w:t>Requirement and finding</w:t>
            </w:r>
          </w:p>
        </w:tc>
      </w:tr>
      <w:tr>
        <w:trPr>
          <w:cantSplit/>
        </w:trPr>
        <w:tc>
          <w:tcPr>
            <w:tcW w:type="dxa" w:w="2622"/>
          </w:tcPr>
          <w:p>
            <w:pPr>
              <w:spacing w:after="0"/>
            </w:pPr>
            <w:r>
              <w:rPr>
                <w:sz w:val="18"/>
              </w:rPr>
              <w:t>Operational logs</w:t>
            </w:r>
          </w:p>
        </w:tc>
        <w:tc>
          <w:tcPr>
            <w:tcW w:type="dxa" w:w="5278"/>
          </w:tcPr>
          <w:p>
            <w:pPr>
              <w:spacing w:after="0"/>
            </w:pPr>
            <w:r>
              <w:rPr>
                <w:sz w:val="18"/>
              </w:rPr>
              <w:t>Request metadata (IP address, timestamp, requested URL) kept 30 days, used "only to operate, secure, and troubleshoot the Services" (</w:t>
            </w:r>
            <w:hyperlink r:id="rId13">
              <w:r>
                <w:rPr>
                  <w:color w:val="1d4ed8"/>
                  <w:sz w:val="18"/>
                  <w:u w:val="single"/>
                </w:rPr>
                <w:t xml:space="preserve">Privacy</w:t>
              </w:r>
            </w:hyperlink>
            <w:r>
              <w:rPr>
                <w:sz w:val="18"/>
              </w:rPr>
              <w:t xml:space="preserve"> §2.3). Available to the operator only</w:t>
            </w:r>
          </w:p>
        </w:tc>
        <w:tc>
          <w:tcPr>
            <w:tcW w:type="dxa" w:w="2468"/>
          </w:tcPr>
          <w:p>
            <w:pPr>
              <w:spacing w:after="0"/>
            </w:pPr>
            <w:r>
              <w:rPr>
                <w:sz w:val="18"/>
                <w:highlight w:val="yellow"/>
              </w:rPr>
              <w:t>[REQUIREMENT / FINDING]</w:t>
            </w:r>
          </w:p>
        </w:tc>
      </w:tr>
      <w:tr>
        <w:trPr>
          <w:cantSplit/>
        </w:trPr>
        <w:tc>
          <w:tcPr>
            <w:tcW w:type="dxa" w:w="2622"/>
            <w:shd w:val="clear" w:color="auto" w:fill="f1f5f9"/>
          </w:tcPr>
          <w:p>
            <w:pPr>
              <w:spacing w:after="0"/>
            </w:pPr>
            <w:r>
              <w:rPr>
                <w:sz w:val="18"/>
              </w:rPr>
              <w:t xml:space="preserve">Audit log for </w:t>
            </w:r>
            <w:r>
              <w:rPr>
                <w:sz w:val="18"/>
                <w:highlight w:val="yellow"/>
              </w:rPr>
              <w:t>[ORGANIZATION]</w:t>
            </w:r>
          </w:p>
        </w:tc>
        <w:tc>
          <w:tcPr>
            <w:tcW w:type="dxa" w:w="5278"/>
            <w:shd w:val="clear" w:color="auto" w:fill="f1f5f9"/>
          </w:tcPr>
          <w:p>
            <w:pPr>
              <w:spacing w:after="0"/>
            </w:pPr>
            <w:r>
              <w:rPr>
                <w:sz w:val="18"/>
              </w:rPr>
              <w:t>None for users or administrators</w:t>
            </w:r>
          </w:p>
        </w:tc>
        <w:tc>
          <w:tcPr>
            <w:tcW w:type="dxa" w:w="2468"/>
            <w:shd w:val="clear" w:color="auto" w:fill="f1f5f9"/>
          </w:tcPr>
          <w:p>
            <w:pPr>
              <w:spacing w:after="0"/>
            </w:pPr>
            <w:r>
              <w:rPr>
                <w:sz w:val="18"/>
                <w:highlight w:val="yellow"/>
              </w:rPr>
              <w:t>[REQUIREMENT / FINDING]</w:t>
            </w:r>
          </w:p>
        </w:tc>
      </w:tr>
      <w:tr>
        <w:trPr>
          <w:cantSplit/>
        </w:trPr>
        <w:tc>
          <w:tcPr>
            <w:tcW w:type="dxa" w:w="2622"/>
          </w:tcPr>
          <w:p>
            <w:pPr>
              <w:spacing w:after="0"/>
            </w:pPr>
            <w:r>
              <w:rPr>
                <w:sz w:val="18"/>
              </w:rPr>
              <w:t>Availability monitoring</w:t>
            </w:r>
          </w:p>
        </w:tc>
        <w:tc>
          <w:tcPr>
            <w:tcW w:type="dxa" w:w="5278"/>
          </w:tcPr>
          <w:p>
            <w:pPr>
              <w:spacing w:after="0"/>
            </w:pPr>
            <w:r>
              <w:rPr>
                <w:sz w:val="18"/>
              </w:rPr>
              <w:t>The operator checks the web apps every 5 minutes with an external uptime service; the Connect AI server is checked about every six hours, not at its public address (operator's statement and repository workflow, 2026-10-25). No status page</w:t>
            </w:r>
          </w:p>
        </w:tc>
        <w:tc>
          <w:tcPr>
            <w:tcW w:type="dxa" w:w="2468"/>
          </w:tcPr>
          <w:p>
            <w:pPr>
              <w:spacing w:after="0"/>
            </w:pPr>
            <w:r>
              <w:rPr>
                <w:sz w:val="18"/>
                <w:highlight w:val="yellow"/>
              </w:rPr>
              <w:t>[REQUIREMENT / FINDING]</w:t>
            </w:r>
          </w:p>
        </w:tc>
      </w:tr>
    </w:tbl>
    <w:p>
      <w:pPr>
        <w:spacing w:after="40"/>
      </w:pPr>
    </w:p>
    <w:p>
      <w:pPr>
        <w:pStyle w:val="Heading2"/>
      </w:pPr>
      <w:r>
        <w:rPr/>
        <w:t>8. Vulnerability management and secure development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278"/>
        <w:gridCol w:w="5849"/>
        <w:gridCol w:w="2241"/>
      </w:tblGrid>
      <w:tr>
        <w:trPr>
          <w:cantSplit/>
          <w:tblHeader w:val="true"/>
        </w:trPr>
        <w:tc>
          <w:tcPr>
            <w:tcW w:type="dxa" w:w="2278"/>
            <w:shd w:val="clear" w:color="auto" w:fill="1d4ed8"/>
          </w:tcPr>
          <w:p>
            <w:pPr>
              <w:spacing w:after="0"/>
            </w:pPr>
            <w:r>
              <w:rPr>
                <w:b/>
                <w:color w:val="FFFFFF"/>
                <w:sz w:val="18"/>
              </w:rPr>
              <w:t>Topic</w:t>
            </w:r>
          </w:p>
        </w:tc>
        <w:tc>
          <w:tcPr>
            <w:tcW w:type="dxa" w:w="5849"/>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241"/>
            <w:shd w:val="clear" w:color="auto" w:fill="1d4ed8"/>
          </w:tcPr>
          <w:p>
            <w:pPr>
              <w:spacing w:after="0"/>
            </w:pPr>
            <w:r>
              <w:rPr>
                <w:b/>
                <w:color w:val="FFFFFF"/>
                <w:sz w:val="18"/>
              </w:rPr>
              <w:t>Requirement and finding</w:t>
            </w:r>
          </w:p>
        </w:tc>
      </w:tr>
      <w:tr>
        <w:trPr>
          <w:cantSplit/>
        </w:trPr>
        <w:tc>
          <w:tcPr>
            <w:tcW w:type="dxa" w:w="2278"/>
          </w:tcPr>
          <w:p>
            <w:pPr>
              <w:spacing w:after="0"/>
            </w:pPr>
            <w:r>
              <w:rPr>
                <w:sz w:val="18"/>
              </w:rPr>
              <w:t>Code and dependency scanning</w:t>
            </w:r>
          </w:p>
        </w:tc>
        <w:tc>
          <w:tcPr>
            <w:tcW w:type="dxa" w:w="5849"/>
          </w:tcPr>
          <w:p>
            <w:pPr>
              <w:spacing w:after="0"/>
            </w:pPr>
            <w:r>
              <w:rPr>
                <w:sz w:val="18"/>
              </w:rPr>
              <w:t>Dependabot alerts, CodeQL code scanning, secret scanning with push protection, and protected main branches on all eight public SPERT</w:t>
            </w:r>
            <w:r>
              <w:rPr>
                <w:sz w:val="18"/>
                <w:vertAlign w:val="superscript"/>
              </w:rPr>
              <w:t>®</w:t>
            </w:r>
            <w:r>
              <w:rPr>
                <w:sz w:val="18"/>
              </w:rPr>
              <w:t xml:space="preserve"> repositories since 2026-10-25. Dependency updates are applied by hand after a soak period</w:t>
            </w:r>
          </w:p>
        </w:tc>
        <w:tc>
          <w:tcPr>
            <w:tcW w:type="dxa" w:w="2241"/>
          </w:tcPr>
          <w:p>
            <w:pPr>
              <w:spacing w:after="0"/>
            </w:pPr>
            <w:r>
              <w:rPr>
                <w:sz w:val="18"/>
                <w:highlight w:val="yellow"/>
              </w:rPr>
              <w:t>[REQUIREMENT / FINDING]</w:t>
            </w:r>
          </w:p>
        </w:tc>
      </w:tr>
      <w:tr>
        <w:trPr>
          <w:cantSplit/>
        </w:trPr>
        <w:tc>
          <w:tcPr>
            <w:tcW w:type="dxa" w:w="2278"/>
            <w:shd w:val="clear" w:color="auto" w:fill="f1f5f9"/>
          </w:tcPr>
          <w:p>
            <w:pPr>
              <w:spacing w:after="0"/>
            </w:pPr>
            <w:r>
              <w:rPr>
                <w:sz w:val="18"/>
              </w:rPr>
              <w:t>Vulnerability reporting</w:t>
            </w:r>
          </w:p>
        </w:tc>
        <w:tc>
          <w:tcPr>
            <w:tcW w:type="dxa" w:w="5849"/>
            <w:shd w:val="clear" w:color="auto" w:fill="f1f5f9"/>
          </w:tcPr>
          <w:p>
            <w:pPr>
              <w:spacing w:after="0"/>
            </w:pPr>
            <w:r>
              <w:rPr>
                <w:sz w:val="18"/>
              </w:rPr>
              <w:t xml:space="preserve">Email </w:t>
            </w:r>
            <w:hyperlink r:id="rId16">
              <w:r>
                <w:rPr>
                  <w:color w:val="1d4ed8"/>
                  <w:sz w:val="18"/>
                  <w:u w:val="single"/>
                </w:rPr>
                <w:t xml:space="preserve">security@spertsuite.com</w:t>
              </w:r>
            </w:hyperlink>
            <w:r>
              <w:rPr>
                <w:sz w:val="18"/>
              </w:rPr>
              <w:t>, or use GitHub private vulnerability reporting on each public SPERT</w:t>
            </w:r>
            <w:r>
              <w:rPr>
                <w:sz w:val="18"/>
                <w:vertAlign w:val="superscript"/>
              </w:rPr>
              <w:t>®</w:t>
            </w:r>
            <w:r>
              <w:rPr>
                <w:sz w:val="18"/>
              </w:rPr>
              <w:t xml:space="preserve"> repository. The Security page (</w:t>
            </w:r>
            <w:hyperlink r:id="rId19">
              <w:r>
                <w:rPr>
                  <w:color w:val="1d4ed8"/>
                  <w:sz w:val="18"/>
                  <w:u w:val="single"/>
                </w:rPr>
                <w:t xml:space="preserve">https://spertsuite.com/security</w:t>
              </w:r>
            </w:hyperlink>
            <w:r>
              <w:rPr>
                <w:sz w:val="18"/>
              </w:rPr>
              <w:t xml:space="preserve">) says the operator aims to acknowledge reports within 3 business days, and publishes a short advisory after fixing an issue that could have affected users' data. Machine-readable contacts are at </w:t>
            </w:r>
            <w:hyperlink r:id="rId20">
              <w:r>
                <w:rPr>
                  <w:rFonts w:ascii="Consolas" w:hAnsi="Consolas" w:cs="Consolas"/>
                  <w:color w:val="1d4ed8"/>
                  <w:sz w:val="16"/>
                  <w:u w:val="single"/>
                </w:rPr>
                <w:t xml:space="preserve">https://spertsuite.com/.well-known/security.txt</w:t>
              </w:r>
            </w:hyperlink>
            <w:r>
              <w:rPr>
                <w:sz w:val="18"/>
              </w:rPr>
              <w:t xml:space="preserve"> and </w:t>
            </w:r>
            <w:hyperlink r:id="rId21">
              <w:r>
                <w:rPr>
                  <w:rFonts w:ascii="Consolas" w:hAnsi="Consolas" w:cs="Consolas"/>
                  <w:color w:val="1d4ed8"/>
                  <w:sz w:val="16"/>
                  <w:u w:val="single"/>
                </w:rPr>
                <w:t xml:space="preserve">https://scheduler.spertsuite.com/.well-known/security.txt</w:t>
              </w:r>
            </w:hyperlink>
          </w:p>
        </w:tc>
        <w:tc>
          <w:tcPr>
            <w:tcW w:type="dxa" w:w="2241"/>
            <w:shd w:val="clear" w:color="auto" w:fill="f1f5f9"/>
          </w:tcPr>
          <w:p>
            <w:pPr>
              <w:spacing w:after="0"/>
            </w:pPr>
            <w:r>
              <w:rPr>
                <w:sz w:val="18"/>
                <w:highlight w:val="yellow"/>
              </w:rPr>
              <w:t>[REQUIREMENT / FINDING]</w:t>
            </w:r>
          </w:p>
        </w:tc>
      </w:tr>
      <w:tr>
        <w:trPr>
          <w:cantSplit/>
        </w:trPr>
        <w:tc>
          <w:tcPr>
            <w:tcW w:type="dxa" w:w="2278"/>
          </w:tcPr>
          <w:p>
            <w:pPr>
              <w:spacing w:after="0"/>
            </w:pPr>
            <w:r>
              <w:rPr>
                <w:sz w:val="18"/>
              </w:rPr>
              <w:t>Security reviews</w:t>
            </w:r>
          </w:p>
        </w:tc>
        <w:tc>
          <w:tcPr>
            <w:tcW w:type="dxa" w:w="5849"/>
          </w:tcPr>
          <w:p>
            <w:pPr>
              <w:spacing w:after="0"/>
            </w:pPr>
            <w:r>
              <w:rPr>
                <w:sz w:val="18"/>
              </w:rPr>
              <w:t>The developer's own: SPERT</w:t>
            </w:r>
            <w:r>
              <w:rPr>
                <w:sz w:val="18"/>
                <w:vertAlign w:val="superscript"/>
              </w:rPr>
              <w:t>®</w:t>
            </w:r>
            <w:r>
              <w:rPr>
                <w:sz w:val="18"/>
              </w:rPr>
              <w:t xml:space="preserve"> Scheduler's </w:t>
            </w:r>
            <w:r>
              <w:rPr>
                <w:rFonts w:ascii="Consolas" w:hAnsi="Consolas"/>
                <w:sz w:val="16"/>
              </w:rPr>
              <w:t>SECURITY.md</w:t>
            </w:r>
            <w:r>
              <w:rPr>
                <w:sz w:val="18"/>
              </w:rPr>
              <w:t xml:space="preserve"> records earlier audits; a self-audit of SPERT</w:t>
            </w:r>
            <w:r>
              <w:rPr>
                <w:sz w:val="18"/>
                <w:vertAlign w:val="superscript"/>
              </w:rPr>
              <w:t>®</w:t>
            </w:r>
            <w:r>
              <w:rPr>
                <w:sz w:val="18"/>
              </w:rPr>
              <w:t xml:space="preserve"> Scheduler v0.79.8 (2026-10-24) led to fixes in the shared backend and that app, listed in their public changelogs; a suite-wide self-review was completed on 2026-10-25, with fixes released in stages. None is independent</w:t>
            </w:r>
          </w:p>
        </w:tc>
        <w:tc>
          <w:tcPr>
            <w:tcW w:type="dxa" w:w="2241"/>
          </w:tcPr>
          <w:p>
            <w:pPr>
              <w:spacing w:after="0"/>
            </w:pPr>
            <w:r>
              <w:rPr>
                <w:sz w:val="18"/>
                <w:highlight w:val="yellow"/>
              </w:rPr>
              <w:t>[REQUIREMENT / FINDING]</w:t>
            </w:r>
          </w:p>
        </w:tc>
      </w:tr>
      <w:tr>
        <w:trPr>
          <w:cantSplit/>
        </w:trPr>
        <w:tc>
          <w:tcPr>
            <w:tcW w:type="dxa" w:w="2278"/>
            <w:shd w:val="clear" w:color="auto" w:fill="f1f5f9"/>
          </w:tcPr>
          <w:p>
            <w:pPr>
              <w:spacing w:after="0"/>
            </w:pPr>
            <w:r>
              <w:rPr>
                <w:sz w:val="18"/>
              </w:rPr>
              <w:t>Penetration test</w:t>
            </w:r>
          </w:p>
        </w:tc>
        <w:tc>
          <w:tcPr>
            <w:tcW w:type="dxa" w:w="5849"/>
            <w:shd w:val="clear" w:color="auto" w:fill="f1f5f9"/>
          </w:tcPr>
          <w:p>
            <w:pPr>
              <w:spacing w:after="0"/>
            </w:pPr>
            <w:r>
              <w:rPr>
                <w:sz w:val="18"/>
              </w:rPr>
              <w:t xml:space="preserve">None by a third party. The </w:t>
            </w:r>
            <w:hyperlink r:id="rId12">
              <w:r>
                <w:rPr>
                  <w:color w:val="1d4ed8"/>
                  <w:sz w:val="18"/>
                  <w:u w:val="single"/>
                </w:rPr>
                <w:t xml:space="preserve">Terms of Service</w:t>
              </w:r>
            </w:hyperlink>
            <w:r>
              <w:rPr>
                <w:sz w:val="18"/>
              </w:rPr>
              <w:t xml:space="preserve"> (§4) forbid probing, scanning or testing the live service's security; review the public source, run a separate copy, or ask the operator in writing first</w:t>
            </w:r>
          </w:p>
        </w:tc>
        <w:tc>
          <w:tcPr>
            <w:tcW w:type="dxa" w:w="2241"/>
            <w:shd w:val="clear" w:color="auto" w:fill="f1f5f9"/>
          </w:tcPr>
          <w:p>
            <w:pPr>
              <w:spacing w:after="0"/>
            </w:pPr>
            <w:r>
              <w:rPr>
                <w:sz w:val="18"/>
                <w:highlight w:val="yellow"/>
              </w:rPr>
              <w:t>[REQUIREMENT / FINDING]</w:t>
            </w:r>
          </w:p>
        </w:tc>
      </w:tr>
      <w:tr>
        <w:trPr>
          <w:cantSplit/>
        </w:trPr>
        <w:tc>
          <w:tcPr>
            <w:tcW w:type="dxa" w:w="2278"/>
          </w:tcPr>
          <w:p>
            <w:pPr>
              <w:spacing w:after="0"/>
            </w:pPr>
            <w:r>
              <w:rPr>
                <w:sz w:val="18"/>
              </w:rPr>
              <w:t>Browser security headers</w:t>
            </w:r>
          </w:p>
        </w:tc>
        <w:tc>
          <w:tcPr>
            <w:tcW w:type="dxa" w:w="5849"/>
          </w:tcPr>
          <w:p>
            <w:pPr>
              <w:spacing w:after="0"/>
            </w:pPr>
            <w:r>
              <w:rPr>
                <w:sz w:val="18"/>
              </w:rPr>
              <w:t>Vary by app. Checked in each repository's configuration, not measured live for every app (</w:t>
            </w:r>
            <w:r>
              <w:rPr>
                <w:i/>
                <w:sz w:val="18"/>
              </w:rPr>
              <w:t>Architecture Overview</w:t>
            </w:r>
            <w:r>
              <w:rPr>
                <w:sz w:val="18"/>
              </w:rPr>
              <w:t>, Reviewer notes)</w:t>
            </w:r>
          </w:p>
        </w:tc>
        <w:tc>
          <w:tcPr>
            <w:tcW w:type="dxa" w:w="2241"/>
          </w:tcPr>
          <w:p>
            <w:pPr>
              <w:spacing w:after="0"/>
            </w:pPr>
            <w:r>
              <w:rPr>
                <w:sz w:val="18"/>
                <w:highlight w:val="yellow"/>
              </w:rPr>
              <w:t>[REQUIREMENT / FINDING]</w:t>
            </w:r>
          </w:p>
        </w:tc>
      </w:tr>
    </w:tbl>
    <w:p>
      <w:pPr>
        <w:spacing w:after="40"/>
      </w:pPr>
    </w:p>
    <w:p>
      <w:pPr>
        <w:pStyle w:val="Heading2"/>
      </w:pPr>
      <w:r>
        <w:rPr/>
        <w:t>9. Connect AI (tier 3 only)</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517"/>
        <w:gridCol w:w="6341"/>
        <w:gridCol w:w="2511"/>
      </w:tblGrid>
      <w:tr>
        <w:trPr>
          <w:cantSplit/>
          <w:tblHeader w:val="true"/>
        </w:trPr>
        <w:tc>
          <w:tcPr>
            <w:tcW w:type="dxa" w:w="1517"/>
            <w:shd w:val="clear" w:color="auto" w:fill="1d4ed8"/>
          </w:tcPr>
          <w:p>
            <w:pPr>
              <w:spacing w:after="0"/>
            </w:pPr>
            <w:r>
              <w:rPr>
                <w:b/>
                <w:color w:val="FFFFFF"/>
                <w:sz w:val="18"/>
              </w:rPr>
              <w:t>Topic</w:t>
            </w:r>
          </w:p>
        </w:tc>
        <w:tc>
          <w:tcPr>
            <w:tcW w:type="dxa" w:w="6341"/>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511"/>
            <w:shd w:val="clear" w:color="auto" w:fill="1d4ed8"/>
          </w:tcPr>
          <w:p>
            <w:pPr>
              <w:spacing w:after="0"/>
            </w:pPr>
            <w:r>
              <w:rPr>
                <w:b/>
                <w:color w:val="FFFFFF"/>
                <w:sz w:val="18"/>
              </w:rPr>
              <w:t>Requirement and finding</w:t>
            </w:r>
          </w:p>
        </w:tc>
      </w:tr>
      <w:tr>
        <w:trPr>
          <w:cantSplit/>
        </w:trPr>
        <w:tc>
          <w:tcPr>
            <w:tcW w:type="dxa" w:w="1517"/>
          </w:tcPr>
          <w:p>
            <w:pPr>
              <w:spacing w:after="0"/>
            </w:pPr>
            <w:r>
              <w:rPr>
                <w:sz w:val="18"/>
              </w:rPr>
              <w:t>Built-in AI</w:t>
            </w:r>
          </w:p>
        </w:tc>
        <w:tc>
          <w:tcPr>
            <w:tcW w:type="dxa" w:w="6341"/>
          </w:tcPr>
          <w:p>
            <w:pPr>
              <w:spacing w:after="0"/>
            </w:pPr>
            <w:r>
              <w:rPr>
                <w:sz w:val="18"/>
              </w:rPr>
              <w:t>None. The user connects their own AI assistant through the Model Context Protocol (</w:t>
            </w:r>
            <w:hyperlink r:id="rId14">
              <w:r>
                <w:rPr>
                  <w:color w:val="1d4ed8"/>
                  <w:sz w:val="18"/>
                  <w:u w:val="single"/>
                </w:rPr>
                <w:t xml:space="preserve">AI Privacy Notice</w:t>
              </w:r>
            </w:hyperlink>
            <w:r>
              <w:rPr>
                <w:sz w:val="18"/>
              </w:rPr>
              <w:t xml:space="preserve"> §1)</w:t>
            </w:r>
          </w:p>
        </w:tc>
        <w:tc>
          <w:tcPr>
            <w:tcW w:type="dxa" w:w="2511"/>
          </w:tcPr>
          <w:p>
            <w:pPr>
              <w:spacing w:after="0"/>
            </w:pPr>
            <w:r>
              <w:rPr>
                <w:sz w:val="18"/>
                <w:highlight w:val="yellow"/>
              </w:rPr>
              <w:t>[REQUIREMENT / FINDING]</w:t>
            </w:r>
          </w:p>
        </w:tc>
      </w:tr>
      <w:tr>
        <w:trPr>
          <w:cantSplit/>
        </w:trPr>
        <w:tc>
          <w:tcPr>
            <w:tcW w:type="dxa" w:w="1517"/>
            <w:shd w:val="clear" w:color="auto" w:fill="f1f5f9"/>
          </w:tcPr>
          <w:p>
            <w:pPr>
              <w:spacing w:after="0"/>
            </w:pPr>
            <w:r>
              <w:rPr>
                <w:sz w:val="18"/>
              </w:rPr>
              <w:t>Which apps</w:t>
            </w:r>
          </w:p>
        </w:tc>
        <w:tc>
          <w:tcPr>
            <w:tcW w:type="dxa" w:w="6341"/>
            <w:shd w:val="clear" w:color="auto" w:fill="f1f5f9"/>
          </w:tcPr>
          <w:p>
            <w:pPr>
              <w:spacing w:after="0"/>
            </w:pPr>
            <w:r>
              <w:rPr>
                <w:sz w:val="18"/>
              </w:rPr>
              <w:t>SPERT</w:t>
            </w:r>
            <w:r>
              <w:rPr>
                <w:sz w:val="18"/>
                <w:vertAlign w:val="superscript"/>
              </w:rPr>
              <w:t>®</w:t>
            </w:r>
            <w:r>
              <w:rPr>
                <w:sz w:val="18"/>
              </w:rPr>
              <w:t xml:space="preserve"> Scheduler and SPERT</w:t>
            </w:r>
            <w:r>
              <w:rPr>
                <w:sz w:val="18"/>
                <w:vertAlign w:val="superscript"/>
              </w:rPr>
              <w:t>®</w:t>
            </w:r>
            <w:r>
              <w:rPr>
                <w:sz w:val="18"/>
              </w:rPr>
              <w:t xml:space="preserve"> Story Map (Write Mode required, Read Mode optional); SPERT</w:t>
            </w:r>
            <w:r>
              <w:rPr>
                <w:sz w:val="18"/>
                <w:vertAlign w:val="superscript"/>
              </w:rPr>
              <w:t>®</w:t>
            </w:r>
            <w:r>
              <w:rPr>
                <w:sz w:val="18"/>
              </w:rPr>
              <w:t xml:space="preserve"> Forecaster (Read Mode only). Not offered in SPERT</w:t>
            </w:r>
            <w:r>
              <w:rPr>
                <w:sz w:val="18"/>
                <w:vertAlign w:val="superscript"/>
              </w:rPr>
              <w:t>®</w:t>
            </w:r>
            <w:r>
              <w:rPr>
                <w:sz w:val="18"/>
              </w:rPr>
              <w:t xml:space="preserve"> CFD, GanttApp™ or MyScrumBudget™ (</w:t>
            </w:r>
            <w:hyperlink r:id="rId14">
              <w:r>
                <w:rPr>
                  <w:color w:val="1d4ed8"/>
                  <w:sz w:val="18"/>
                  <w:u w:val="single"/>
                </w:rPr>
                <w:t xml:space="preserve">AI Privacy Notice</w:t>
              </w:r>
            </w:hyperlink>
            <w:r>
              <w:rPr>
                <w:sz w:val="18"/>
              </w:rPr>
              <w:t xml:space="preserve"> §2.3)</w:t>
            </w:r>
          </w:p>
        </w:tc>
        <w:tc>
          <w:tcPr>
            <w:tcW w:type="dxa" w:w="2511"/>
            <w:shd w:val="clear" w:color="auto" w:fill="f1f5f9"/>
          </w:tcPr>
          <w:p>
            <w:pPr>
              <w:spacing w:after="0"/>
            </w:pPr>
            <w:r>
              <w:rPr>
                <w:sz w:val="18"/>
                <w:highlight w:val="yellow"/>
              </w:rPr>
              <w:t>[REQUIREMENT / FINDING]</w:t>
            </w:r>
          </w:p>
        </w:tc>
      </w:tr>
      <w:tr>
        <w:trPr>
          <w:cantSplit/>
        </w:trPr>
        <w:tc>
          <w:tcPr>
            <w:tcW w:type="dxa" w:w="1517"/>
          </w:tcPr>
          <w:p>
            <w:pPr>
              <w:spacing w:after="0"/>
            </w:pPr>
            <w:r>
              <w:rPr>
                <w:sz w:val="18"/>
              </w:rPr>
              <w:t>Data to the AI provider</w:t>
            </w:r>
          </w:p>
        </w:tc>
        <w:tc>
          <w:tcPr>
            <w:tcW w:type="dxa" w:w="6341"/>
          </w:tcPr>
          <w:p>
            <w:pPr>
              <w:spacing w:after="0"/>
            </w:pPr>
            <w:r>
              <w:rPr>
                <w:sz w:val="18"/>
              </w:rPr>
              <w:t xml:space="preserve">Write Mode: "Your existing project data remains in your browser's local storage and is not uploaded to any server" (§2.1). Read Mode: a snapshot of the one open project, including free text, goes to the relay and the AI provider, "regardless of your storage setting" (§2.2). The </w:t>
            </w:r>
            <w:r>
              <w:rPr>
                <w:i/>
                <w:sz w:val="18"/>
              </w:rPr>
              <w:t>Data Flow Diagram</w:t>
            </w:r>
            <w:r>
              <w:rPr>
                <w:sz w:val="18"/>
              </w:rPr>
              <w:t xml:space="preserve"> lists the fields per app</w:t>
            </w:r>
          </w:p>
        </w:tc>
        <w:tc>
          <w:tcPr>
            <w:tcW w:type="dxa" w:w="2511"/>
          </w:tcPr>
          <w:p>
            <w:pPr>
              <w:spacing w:after="0"/>
            </w:pPr>
            <w:r>
              <w:rPr>
                <w:sz w:val="18"/>
                <w:highlight w:val="yellow"/>
              </w:rPr>
              <w:t>[REQUIREMENT / FINDING]</w:t>
            </w:r>
          </w:p>
        </w:tc>
      </w:tr>
      <w:tr>
        <w:trPr>
          <w:cantSplit/>
        </w:trPr>
        <w:tc>
          <w:tcPr>
            <w:tcW w:type="dxa" w:w="1517"/>
            <w:shd w:val="clear" w:color="auto" w:fill="f1f5f9"/>
          </w:tcPr>
          <w:p>
            <w:pPr>
              <w:spacing w:after="0"/>
            </w:pPr>
            <w:r>
              <w:rPr>
                <w:sz w:val="18"/>
              </w:rPr>
              <w:t>Relay retention</w:t>
            </w:r>
          </w:p>
        </w:tc>
        <w:tc>
          <w:tcPr>
            <w:tcW w:type="dxa" w:w="6341"/>
            <w:shd w:val="clear" w:color="auto" w:fill="f1f5f9"/>
          </w:tcPr>
          <w:p>
            <w:pPr>
              <w:spacing w:after="0"/>
            </w:pPr>
            <w:r>
              <w:rPr>
                <w:sz w:val="18"/>
              </w:rPr>
              <w:t>Deleted on disconnect, when Read Mode is turned off, or seven days after the session's last activity, including requests from the AI assistant; backups up to 98 days (</w:t>
            </w:r>
            <w:hyperlink r:id="rId14">
              <w:r>
                <w:rPr>
                  <w:color w:val="1d4ed8"/>
                  <w:sz w:val="18"/>
                  <w:u w:val="single"/>
                </w:rPr>
                <w:t xml:space="preserve">AI Privacy Notice</w:t>
              </w:r>
            </w:hyperlink>
            <w:r>
              <w:rPr>
                <w:sz w:val="18"/>
              </w:rPr>
              <w:t xml:space="preserve"> §2.2, §4). Signing out ends the session on the server in all three apps (since SPERT</w:t>
            </w:r>
            <w:r>
              <w:rPr>
                <w:sz w:val="18"/>
                <w:vertAlign w:val="superscript"/>
              </w:rPr>
              <w:t>®</w:t>
            </w:r>
            <w:r>
              <w:rPr>
                <w:sz w:val="18"/>
              </w:rPr>
              <w:t xml:space="preserve"> Scheduler 0.79.25, SPERT</w:t>
            </w:r>
            <w:r>
              <w:rPr>
                <w:sz w:val="18"/>
                <w:vertAlign w:val="superscript"/>
              </w:rPr>
              <w:t>®</w:t>
            </w:r>
            <w:r>
              <w:rPr>
                <w:sz w:val="18"/>
              </w:rPr>
              <w:t xml:space="preserve"> Story Map 0.53.13 and SPERT</w:t>
            </w:r>
            <w:r>
              <w:rPr>
                <w:sz w:val="18"/>
                <w:vertAlign w:val="superscript"/>
              </w:rPr>
              <w:t>®</w:t>
            </w:r>
            <w:r>
              <w:rPr>
                <w:sz w:val="18"/>
              </w:rPr>
              <w:t xml:space="preserve"> Forecaster 0.47.3); if the server cannot be reached at that moment, for example when offline, the app tells the user and keeps retrying. Disconnecting also ends the session on the server, but if the server cannot be reached, SPERT</w:t>
            </w:r>
            <w:r>
              <w:rPr>
                <w:sz w:val="18"/>
                <w:vertAlign w:val="superscript"/>
              </w:rPr>
              <w:t>®</w:t>
            </w:r>
            <w:r>
              <w:rPr>
                <w:sz w:val="18"/>
              </w:rPr>
              <w:t xml:space="preserve"> Scheduler and SPERT</w:t>
            </w:r>
            <w:r>
              <w:rPr>
                <w:sz w:val="18"/>
                <w:vertAlign w:val="superscript"/>
              </w:rPr>
              <w:t>®</w:t>
            </w:r>
            <w:r>
              <w:rPr>
                <w:sz w:val="18"/>
              </w:rPr>
              <w:t xml:space="preserve"> Story Map do not tell the user. Until a later attempt succeeds, the relay data stays until the session expires seven days after the session's last activity, including requests from the AI assistant; because each AI request extends the session, one that an AI keeps using does not expire. The AI provider's own terms govern what it keeps</w:t>
            </w:r>
          </w:p>
        </w:tc>
        <w:tc>
          <w:tcPr>
            <w:tcW w:type="dxa" w:w="2511"/>
            <w:shd w:val="clear" w:color="auto" w:fill="f1f5f9"/>
          </w:tcPr>
          <w:p>
            <w:pPr>
              <w:spacing w:after="0"/>
            </w:pPr>
            <w:r>
              <w:rPr>
                <w:sz w:val="18"/>
                <w:highlight w:val="yellow"/>
              </w:rPr>
              <w:t>[REQUIREMENT / FINDING]</w:t>
            </w:r>
          </w:p>
        </w:tc>
      </w:tr>
      <w:tr>
        <w:trPr>
          <w:cantSplit/>
        </w:trPr>
        <w:tc>
          <w:tcPr>
            <w:tcW w:type="dxa" w:w="1517"/>
          </w:tcPr>
          <w:p>
            <w:pPr>
              <w:spacing w:after="0"/>
            </w:pPr>
            <w:r>
              <w:rPr>
                <w:sz w:val="18"/>
              </w:rPr>
              <w:t>What the AI can change</w:t>
            </w:r>
          </w:p>
        </w:tc>
        <w:tc>
          <w:tcPr>
            <w:tcW w:type="dxa" w:w="6341"/>
          </w:tcPr>
          <w:p>
            <w:pPr>
              <w:spacing w:after="0"/>
            </w:pPr>
            <w:r>
              <w:rPr>
                <w:sz w:val="18"/>
              </w:rPr>
              <w:t>Scheduler: 25 tools; some overwrite names, estimates, descriptions and order, and two remove links (a dependency, a milestone assignment). Story Map: 21 tools; some overwrite or clear text, sizes and allocations. Forecaster: 3 read-only tools. No tool deletes an activity, milestone, story-map item or project</w:t>
            </w:r>
          </w:p>
        </w:tc>
        <w:tc>
          <w:tcPr>
            <w:tcW w:type="dxa" w:w="2511"/>
          </w:tcPr>
          <w:p>
            <w:pPr>
              <w:spacing w:after="0"/>
            </w:pPr>
            <w:r>
              <w:rPr>
                <w:sz w:val="18"/>
                <w:highlight w:val="yellow"/>
              </w:rPr>
              <w:t>[REQUIREMENT / FINDING]</w:t>
            </w:r>
          </w:p>
        </w:tc>
      </w:tr>
      <w:tr>
        <w:trPr>
          <w:cantSplit/>
        </w:trPr>
        <w:tc>
          <w:tcPr>
            <w:tcW w:type="dxa" w:w="1517"/>
            <w:shd w:val="clear" w:color="auto" w:fill="f1f5f9"/>
          </w:tcPr>
          <w:p>
            <w:pPr>
              <w:spacing w:after="0"/>
            </w:pPr>
            <w:r>
              <w:rPr>
                <w:sz w:val="18"/>
              </w:rPr>
              <w:t>Server access model</w:t>
            </w:r>
          </w:p>
        </w:tc>
        <w:tc>
          <w:tcPr>
            <w:tcW w:type="dxa" w:w="6341"/>
            <w:shd w:val="clear" w:color="auto" w:fill="f1f5f9"/>
          </w:tcPr>
          <w:p>
            <w:pPr>
              <w:spacing w:after="0"/>
            </w:pPr>
            <w:r>
              <w:rPr>
                <w:sz w:val="18"/>
              </w:rPr>
              <w:t>No API key or user login; access rests on a single-use pairing code (one word plus 10 digits, valid 15 minutes), then the session's random identifier, plus a rate limit. Stronger session protection is planned but not built (</w:t>
            </w:r>
            <w:r>
              <w:rPr>
                <w:i/>
                <w:sz w:val="18"/>
              </w:rPr>
              <w:t>Architecture Overview</w:t>
            </w:r>
            <w:r>
              <w:rPr>
                <w:sz w:val="18"/>
              </w:rPr>
              <w:t xml:space="preserve"> §4)</w:t>
            </w:r>
          </w:p>
        </w:tc>
        <w:tc>
          <w:tcPr>
            <w:tcW w:type="dxa" w:w="2511"/>
            <w:shd w:val="clear" w:color="auto" w:fill="f1f5f9"/>
          </w:tcPr>
          <w:p>
            <w:pPr>
              <w:spacing w:after="0"/>
            </w:pPr>
            <w:r>
              <w:rPr>
                <w:sz w:val="18"/>
                <w:highlight w:val="yellow"/>
              </w:rPr>
              <w:t>[REQUIREMENT / FINDING]</w:t>
            </w:r>
          </w:p>
        </w:tc>
      </w:tr>
      <w:tr>
        <w:trPr>
          <w:cantSplit/>
        </w:trPr>
        <w:tc>
          <w:tcPr>
            <w:tcW w:type="dxa" w:w="1517"/>
          </w:tcPr>
          <w:p>
            <w:pPr>
              <w:spacing w:after="0"/>
            </w:pPr>
            <w:r>
              <w:rPr>
                <w:sz w:val="18"/>
              </w:rPr>
              <w:t>Organization control</w:t>
            </w:r>
          </w:p>
        </w:tc>
        <w:tc>
          <w:tcPr>
            <w:tcW w:type="dxa" w:w="6341"/>
          </w:tcPr>
          <w:p>
            <w:pPr>
              <w:spacing w:after="0"/>
            </w:pPr>
            <w:r>
              <w:rPr>
                <w:sz w:val="18"/>
              </w:rPr>
              <w:t>No administrator switch; consent is per user, per app, per browser (</w:t>
            </w:r>
            <w:hyperlink r:id="rId14">
              <w:r>
                <w:rPr>
                  <w:color w:val="1d4ed8"/>
                  <w:sz w:val="18"/>
                  <w:u w:val="single"/>
                </w:rPr>
                <w:t xml:space="preserve">AI Privacy Notice</w:t>
              </w:r>
            </w:hyperlink>
            <w:r>
              <w:rPr>
                <w:sz w:val="18"/>
              </w:rPr>
              <w:t xml:space="preserve"> §1). Effective controls: an acceptable-use rule, and </w:t>
            </w:r>
            <w:r>
              <w:rPr>
                <w:sz w:val="18"/>
                <w:highlight w:val="yellow"/>
              </w:rPr>
              <w:t>[AI PLATFORM]</w:t>
            </w:r>
            <w:r>
              <w:rPr>
                <w:sz w:val="18"/>
              </w:rPr>
              <w:t>'s own connector controls if it has them. Blocking the Connect AI server (</w:t>
            </w:r>
            <w:r>
              <w:rPr>
                <w:rFonts w:ascii="Consolas" w:hAnsi="Consolas"/>
                <w:sz w:val="16"/>
              </w:rPr>
              <w:t>mcp.spertsuite.com</w:t>
            </w:r>
            <w:r>
              <w:rPr>
                <w:sz w:val="18"/>
              </w:rPr>
              <w:t xml:space="preserve">) on </w:t>
            </w:r>
            <w:r>
              <w:rPr>
                <w:sz w:val="18"/>
                <w:highlight w:val="yellow"/>
              </w:rPr>
              <w:t>[ORGANIZATION]</w:t>
            </w:r>
            <w:r>
              <w:rPr>
                <w:sz w:val="18"/>
              </w:rPr>
              <w:t>'s network does not work, because the AI provider's servers call it, not the user's device. Starting Connect AI does need the user's browser to call SPERT</w:t>
            </w:r>
            <w:r>
              <w:rPr>
                <w:sz w:val="18"/>
                <w:vertAlign w:val="superscript"/>
              </w:rPr>
              <w:t>®</w:t>
            </w:r>
            <w:r>
              <w:rPr>
                <w:sz w:val="18"/>
              </w:rPr>
              <w:t xml:space="preserve"> Suite's pairing function at </w:t>
            </w:r>
            <w:r>
              <w:rPr>
                <w:rFonts w:ascii="Consolas" w:hAnsi="Consolas"/>
                <w:sz w:val="16"/>
              </w:rPr>
              <w:t>us-central1-spert-suite.cloudfunctions.net/generatePairingCode</w:t>
            </w:r>
            <w:r>
              <w:rPr>
                <w:sz w:val="18"/>
              </w:rPr>
              <w:t xml:space="preserve">, so blocking that path, or that whole host (which also stops sharing invitations), may stop Connect AI from starting. This is untested, so </w:t>
            </w:r>
            <w:r>
              <w:rPr>
                <w:sz w:val="18"/>
                <w:highlight w:val="yellow"/>
              </w:rPr>
              <w:t>[ORGANIZATION]</w:t>
            </w:r>
            <w:r>
              <w:rPr>
                <w:sz w:val="18"/>
              </w:rPr>
              <w:t>'s IT team should test any block it relies on.</w:t>
            </w:r>
          </w:p>
        </w:tc>
        <w:tc>
          <w:tcPr>
            <w:tcW w:type="dxa" w:w="2511"/>
          </w:tcPr>
          <w:p>
            <w:pPr>
              <w:spacing w:after="0"/>
            </w:pPr>
            <w:r>
              <w:rPr>
                <w:sz w:val="18"/>
              </w:rPr>
              <w:t xml:space="preserve">Approved AI platform and account type: </w:t>
            </w:r>
            <w:r>
              <w:rPr>
                <w:sz w:val="18"/>
                <w:highlight w:val="yellow"/>
              </w:rPr>
              <w:t>[AI PLATFORM]</w:t>
            </w:r>
          </w:p>
        </w:tc>
      </w:tr>
      <w:tr>
        <w:trPr>
          <w:cantSplit/>
        </w:trPr>
        <w:tc>
          <w:tcPr>
            <w:tcW w:type="dxa" w:w="1517"/>
            <w:shd w:val="clear" w:color="auto" w:fill="f1f5f9"/>
          </w:tcPr>
          <w:p>
            <w:pPr>
              <w:spacing w:after="0"/>
            </w:pPr>
            <w:r>
              <w:rPr>
                <w:sz w:val="18"/>
              </w:rPr>
              <w:t>Model training</w:t>
            </w:r>
          </w:p>
        </w:tc>
        <w:tc>
          <w:tcPr>
            <w:tcW w:type="dxa" w:w="6341"/>
            <w:shd w:val="clear" w:color="auto" w:fill="f1f5f9"/>
          </w:tcPr>
          <w:p>
            <w:pPr>
              <w:spacing w:after="0"/>
            </w:pPr>
            <w:r>
              <w:rPr>
                <w:sz w:val="18"/>
              </w:rPr>
              <w:t>"The Operator does not use your data to train machine learning models" (</w:t>
            </w:r>
            <w:hyperlink r:id="rId13">
              <w:r>
                <w:rPr>
                  <w:color w:val="1d4ed8"/>
                  <w:sz w:val="18"/>
                  <w:u w:val="single"/>
                </w:rPr>
                <w:t xml:space="preserve">Privacy</w:t>
              </w:r>
            </w:hyperlink>
            <w:r>
              <w:rPr>
                <w:sz w:val="18"/>
              </w:rPr>
              <w:t xml:space="preserve"> §3). The AI provider's terms govern it</w:t>
            </w:r>
          </w:p>
        </w:tc>
        <w:tc>
          <w:tcPr>
            <w:tcW w:type="dxa" w:w="2511"/>
            <w:shd w:val="clear" w:color="auto" w:fill="f1f5f9"/>
          </w:tcPr>
          <w:p>
            <w:pPr>
              <w:spacing w:after="0"/>
            </w:pPr>
            <w:r>
              <w:rPr>
                <w:sz w:val="18"/>
                <w:highlight w:val="yellow"/>
              </w:rPr>
              <w:t>[REQUIREMENT / FINDING]</w:t>
            </w:r>
          </w:p>
        </w:tc>
      </w:tr>
    </w:tbl>
    <w:p>
      <w:pPr>
        <w:spacing w:after="40"/>
      </w:pPr>
    </w:p>
    <w:p>
      <w:pPr>
        <w:pStyle w:val="Heading2"/>
      </w:pPr>
      <w:r>
        <w:rPr/>
        <w:t>10. Third parties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165"/>
        <w:gridCol w:w="2780"/>
        <w:gridCol w:w="2995"/>
        <w:gridCol w:w="1051"/>
        <w:gridCol w:w="1376"/>
      </w:tblGrid>
      <w:tr>
        <w:trPr>
          <w:cantSplit/>
          <w:tblHeader w:val="true"/>
        </w:trPr>
        <w:tc>
          <w:tcPr>
            <w:tcW w:type="dxa" w:w="2165"/>
            <w:shd w:val="clear" w:color="auto" w:fill="1d4ed8"/>
          </w:tcPr>
          <w:p>
            <w:pPr>
              <w:spacing w:after="0"/>
            </w:pPr>
            <w:r>
              <w:rPr>
                <w:b/>
                <w:color w:val="FFFFFF"/>
                <w:sz w:val="18"/>
              </w:rPr>
              <w:t>Provider</w:t>
            </w:r>
          </w:p>
        </w:tc>
        <w:tc>
          <w:tcPr>
            <w:tcW w:type="dxa" w:w="2780"/>
            <w:shd w:val="clear" w:color="auto" w:fill="1d4ed8"/>
          </w:tcPr>
          <w:p>
            <w:pPr>
              <w:spacing w:after="0"/>
            </w:pPr>
            <w:r>
              <w:rPr>
                <w:b/>
                <w:color w:val="FFFFFF"/>
                <w:sz w:val="18"/>
              </w:rPr>
              <w:t>Role</w:t>
            </w:r>
          </w:p>
        </w:tc>
        <w:tc>
          <w:tcPr>
            <w:tcW w:type="dxa" w:w="2995"/>
            <w:shd w:val="clear" w:color="auto" w:fill="1d4ed8"/>
          </w:tcPr>
          <w:p>
            <w:pPr>
              <w:spacing w:after="0"/>
            </w:pPr>
            <w:r>
              <w:rPr>
                <w:b/>
                <w:color w:val="FFFFFF"/>
                <w:sz w:val="18"/>
              </w:rPr>
              <w:t>Receives</w:t>
            </w:r>
          </w:p>
        </w:tc>
        <w:tc>
          <w:tcPr>
            <w:tcW w:type="dxa" w:w="1051"/>
            <w:shd w:val="clear" w:color="auto" w:fill="1d4ed8"/>
          </w:tcPr>
          <w:p>
            <w:pPr>
              <w:spacing w:after="0"/>
            </w:pPr>
            <w:r>
              <w:rPr>
                <w:b/>
                <w:color w:val="FFFFFF"/>
                <w:sz w:val="18"/>
              </w:rPr>
              <w:t>Tier</w:t>
            </w:r>
          </w:p>
        </w:tc>
        <w:tc>
          <w:tcPr>
            <w:tcW w:type="dxa" w:w="1376"/>
            <w:shd w:val="clear" w:color="auto" w:fill="1d4ed8"/>
          </w:tcPr>
          <w:p>
            <w:pPr>
              <w:spacing w:after="0"/>
            </w:pPr>
            <w:r>
              <w:rPr>
                <w:b/>
                <w:color w:val="FFFFFF"/>
                <w:sz w:val="18"/>
              </w:rPr>
              <w:t>Source</w:t>
            </w:r>
          </w:p>
        </w:tc>
      </w:tr>
      <w:tr>
        <w:trPr>
          <w:cantSplit/>
        </w:trPr>
        <w:tc>
          <w:tcPr>
            <w:tcW w:type="dxa" w:w="2165"/>
          </w:tcPr>
          <w:p>
            <w:pPr>
              <w:spacing w:after="0"/>
            </w:pPr>
            <w:r>
              <w:rPr>
                <w:sz w:val="18"/>
              </w:rPr>
              <w:t>Google LLC (Firebase, Google Cloud)</w:t>
            </w:r>
          </w:p>
        </w:tc>
        <w:tc>
          <w:tcPr>
            <w:tcW w:type="dxa" w:w="2780"/>
          </w:tcPr>
          <w:p>
            <w:pPr>
              <w:spacing w:after="0"/>
            </w:pPr>
            <w:r>
              <w:rPr>
                <w:sz w:val="18"/>
              </w:rPr>
              <w:t>Sign-in, database, functions, Connect AI server, logs</w:t>
            </w:r>
          </w:p>
        </w:tc>
        <w:tc>
          <w:tcPr>
            <w:tcW w:type="dxa" w:w="2995"/>
          </w:tcPr>
          <w:p>
            <w:pPr>
              <w:spacing w:after="0"/>
            </w:pPr>
            <w:r>
              <w:rPr>
                <w:sz w:val="18"/>
              </w:rPr>
              <w:t>Account, cloud project, relay and technical data</w:t>
            </w:r>
          </w:p>
        </w:tc>
        <w:tc>
          <w:tcPr>
            <w:tcW w:type="dxa" w:w="1051"/>
          </w:tcPr>
          <w:p>
            <w:pPr>
              <w:spacing w:after="0"/>
            </w:pPr>
            <w:r>
              <w:rPr>
                <w:sz w:val="18"/>
              </w:rPr>
              <w:t>2, 3</w:t>
            </w:r>
          </w:p>
        </w:tc>
        <w:tc>
          <w:tcPr>
            <w:tcW w:type="dxa" w:w="1376"/>
          </w:tcPr>
          <w:p>
            <w:pPr>
              <w:spacing w:after="0"/>
            </w:pPr>
            <w:hyperlink r:id="rId13">
              <w:r>
                <w:rPr>
                  <w:color w:val="1d4ed8"/>
                  <w:sz w:val="18"/>
                  <w:u w:val="single"/>
                </w:rPr>
                <w:t xml:space="preserve">Privacy</w:t>
              </w:r>
            </w:hyperlink>
            <w:r>
              <w:rPr>
                <w:sz w:val="18"/>
              </w:rPr>
              <w:t xml:space="preserve"> §2.3, §4.1</w:t>
            </w:r>
          </w:p>
        </w:tc>
      </w:tr>
      <w:tr>
        <w:trPr>
          <w:cantSplit/>
        </w:trPr>
        <w:tc>
          <w:tcPr>
            <w:tcW w:type="dxa" w:w="2165"/>
            <w:shd w:val="clear" w:color="auto" w:fill="f1f5f9"/>
          </w:tcPr>
          <w:p>
            <w:pPr>
              <w:spacing w:after="0"/>
            </w:pPr>
            <w:r>
              <w:rPr>
                <w:sz w:val="18"/>
              </w:rPr>
              <w:t>Vercel Inc.</w:t>
            </w:r>
          </w:p>
        </w:tc>
        <w:tc>
          <w:tcPr>
            <w:tcW w:type="dxa" w:w="2780"/>
            <w:shd w:val="clear" w:color="auto" w:fill="f1f5f9"/>
          </w:tcPr>
          <w:p>
            <w:pPr>
              <w:spacing w:after="0"/>
            </w:pPr>
            <w:r>
              <w:rPr>
                <w:sz w:val="18"/>
              </w:rPr>
              <w:t>Hosts the web pages</w:t>
            </w:r>
          </w:p>
        </w:tc>
        <w:tc>
          <w:tcPr>
            <w:tcW w:type="dxa" w:w="2995"/>
            <w:shd w:val="clear" w:color="auto" w:fill="f1f5f9"/>
          </w:tcPr>
          <w:p>
            <w:pPr>
              <w:spacing w:after="0"/>
            </w:pPr>
            <w:r>
              <w:rPr>
                <w:sz w:val="18"/>
              </w:rPr>
              <w:t>Standard request data</w:t>
            </w:r>
          </w:p>
        </w:tc>
        <w:tc>
          <w:tcPr>
            <w:tcW w:type="dxa" w:w="1051"/>
            <w:shd w:val="clear" w:color="auto" w:fill="f1f5f9"/>
          </w:tcPr>
          <w:p>
            <w:pPr>
              <w:spacing w:after="0"/>
            </w:pPr>
            <w:r>
              <w:rPr>
                <w:sz w:val="18"/>
              </w:rPr>
              <w:t>All</w:t>
            </w:r>
          </w:p>
        </w:tc>
        <w:tc>
          <w:tcPr>
            <w:tcW w:type="dxa" w:w="1376"/>
            <w:shd w:val="clear" w:color="auto" w:fill="f1f5f9"/>
          </w:tcPr>
          <w:p>
            <w:pPr>
              <w:spacing w:after="0"/>
            </w:pPr>
            <w:hyperlink r:id="rId13">
              <w:r>
                <w:rPr>
                  <w:color w:val="1d4ed8"/>
                  <w:sz w:val="18"/>
                  <w:u w:val="single"/>
                </w:rPr>
                <w:t xml:space="preserve">Privacy</w:t>
              </w:r>
            </w:hyperlink>
            <w:r>
              <w:rPr>
                <w:sz w:val="18"/>
              </w:rPr>
              <w:t xml:space="preserve"> §1, §4.6</w:t>
            </w:r>
          </w:p>
        </w:tc>
      </w:tr>
      <w:tr>
        <w:trPr>
          <w:cantSplit/>
        </w:trPr>
        <w:tc>
          <w:tcPr>
            <w:tcW w:type="dxa" w:w="2165"/>
          </w:tcPr>
          <w:p>
            <w:pPr>
              <w:spacing w:after="0"/>
            </w:pPr>
            <w:r>
              <w:rPr>
                <w:sz w:val="18"/>
              </w:rPr>
              <w:t>Resend</w:t>
            </w:r>
          </w:p>
        </w:tc>
        <w:tc>
          <w:tcPr>
            <w:tcW w:type="dxa" w:w="2780"/>
          </w:tcPr>
          <w:p>
            <w:pPr>
              <w:spacing w:after="0"/>
            </w:pPr>
            <w:r>
              <w:rPr>
                <w:sz w:val="18"/>
              </w:rPr>
              <w:t>Sends invitation emails</w:t>
            </w:r>
          </w:p>
        </w:tc>
        <w:tc>
          <w:tcPr>
            <w:tcW w:type="dxa" w:w="2995"/>
          </w:tcPr>
          <w:p>
            <w:pPr>
              <w:spacing w:after="0"/>
            </w:pPr>
            <w:r>
              <w:rPr>
                <w:sz w:val="18"/>
              </w:rPr>
              <w:t>Invitation details</w:t>
            </w:r>
          </w:p>
        </w:tc>
        <w:tc>
          <w:tcPr>
            <w:tcW w:type="dxa" w:w="1051"/>
          </w:tcPr>
          <w:p>
            <w:pPr>
              <w:spacing w:after="0"/>
            </w:pPr>
            <w:r>
              <w:rPr>
                <w:sz w:val="18"/>
              </w:rPr>
              <w:t>2</w:t>
            </w:r>
          </w:p>
        </w:tc>
        <w:tc>
          <w:tcPr>
            <w:tcW w:type="dxa" w:w="1376"/>
          </w:tcPr>
          <w:p>
            <w:pPr>
              <w:spacing w:after="0"/>
            </w:pPr>
            <w:hyperlink r:id="rId13">
              <w:r>
                <w:rPr>
                  <w:color w:val="1d4ed8"/>
                  <w:sz w:val="18"/>
                  <w:u w:val="single"/>
                </w:rPr>
                <w:t xml:space="preserve">Privacy</w:t>
              </w:r>
            </w:hyperlink>
            <w:r>
              <w:rPr>
                <w:sz w:val="18"/>
              </w:rPr>
              <w:t xml:space="preserve"> §2.6, §4.6</w:t>
            </w:r>
          </w:p>
        </w:tc>
      </w:tr>
      <w:tr>
        <w:trPr>
          <w:cantSplit/>
        </w:trPr>
        <w:tc>
          <w:tcPr>
            <w:tcW w:type="dxa" w:w="2165"/>
            <w:shd w:val="clear" w:color="auto" w:fill="f1f5f9"/>
          </w:tcPr>
          <w:p>
            <w:pPr>
              <w:spacing w:after="0"/>
            </w:pPr>
            <w:r>
              <w:rPr>
                <w:sz w:val="18"/>
              </w:rPr>
              <w:t>Nager.Date</w:t>
            </w:r>
          </w:p>
        </w:tc>
        <w:tc>
          <w:tcPr>
            <w:tcW w:type="dxa" w:w="2780"/>
            <w:shd w:val="clear" w:color="auto" w:fill="f1f5f9"/>
          </w:tcPr>
          <w:p>
            <w:pPr>
              <w:spacing w:after="0"/>
            </w:pPr>
            <w:r>
              <w:rPr>
                <w:sz w:val="18"/>
              </w:rPr>
              <w:t>Public-holiday lookup in SPERT</w:t>
            </w:r>
            <w:r>
              <w:rPr>
                <w:sz w:val="18"/>
                <w:vertAlign w:val="superscript"/>
              </w:rPr>
              <w:t>®</w:t>
            </w:r>
            <w:r>
              <w:rPr>
                <w:sz w:val="18"/>
              </w:rPr>
              <w:t xml:space="preserve"> Scheduler only</w:t>
            </w:r>
          </w:p>
        </w:tc>
        <w:tc>
          <w:tcPr>
            <w:tcW w:type="dxa" w:w="2995"/>
            <w:shd w:val="clear" w:color="auto" w:fill="f1f5f9"/>
          </w:tcPr>
          <w:p>
            <w:pPr>
              <w:spacing w:after="0"/>
            </w:pPr>
            <w:r>
              <w:rPr>
                <w:sz w:val="18"/>
              </w:rPr>
              <w:t>Country list; country code and year; sees the request's IP address</w:t>
            </w:r>
          </w:p>
        </w:tc>
        <w:tc>
          <w:tcPr>
            <w:tcW w:type="dxa" w:w="1051"/>
            <w:shd w:val="clear" w:color="auto" w:fill="f1f5f9"/>
          </w:tcPr>
          <w:p>
            <w:pPr>
              <w:spacing w:after="0"/>
            </w:pPr>
            <w:r>
              <w:rPr>
                <w:sz w:val="18"/>
              </w:rPr>
              <w:t>1 (optional)</w:t>
            </w:r>
          </w:p>
        </w:tc>
        <w:tc>
          <w:tcPr>
            <w:tcW w:type="dxa" w:w="1376"/>
            <w:shd w:val="clear" w:color="auto" w:fill="f1f5f9"/>
          </w:tcPr>
          <w:p>
            <w:pPr>
              <w:spacing w:after="0"/>
            </w:pPr>
            <w:r>
              <w:rPr>
                <w:sz w:val="18"/>
              </w:rPr>
              <w:t xml:space="preserve">Code; </w:t>
            </w:r>
            <w:hyperlink r:id="rId13">
              <w:r>
                <w:rPr>
                  <w:color w:val="1d4ed8"/>
                  <w:sz w:val="18"/>
                  <w:u w:val="single"/>
                </w:rPr>
                <w:t xml:space="preserve">Privacy Policy</w:t>
              </w:r>
            </w:hyperlink>
            <w:r>
              <w:rPr>
                <w:sz w:val="18"/>
              </w:rPr>
              <w:t xml:space="preserve"> §1</w:t>
            </w:r>
          </w:p>
        </w:tc>
      </w:tr>
      <w:tr>
        <w:trPr>
          <w:cantSplit/>
        </w:trPr>
        <w:tc>
          <w:tcPr>
            <w:tcW w:type="dxa" w:w="2165"/>
          </w:tcPr>
          <w:p>
            <w:pPr>
              <w:spacing w:after="0"/>
            </w:pPr>
            <w:r>
              <w:rPr>
                <w:sz w:val="18"/>
              </w:rPr>
              <w:t>The user's AI provider (</w:t>
            </w:r>
            <w:r>
              <w:rPr>
                <w:sz w:val="18"/>
                <w:highlight w:val="yellow"/>
              </w:rPr>
              <w:t>[AI PLATFORM]</w:t>
            </w:r>
            <w:r>
              <w:rPr>
                <w:sz w:val="18"/>
              </w:rPr>
              <w:t>)</w:t>
            </w:r>
          </w:p>
        </w:tc>
        <w:tc>
          <w:tcPr>
            <w:tcW w:type="dxa" w:w="2780"/>
          </w:tcPr>
          <w:p>
            <w:pPr>
              <w:spacing w:after="0"/>
            </w:pPr>
            <w:r>
              <w:rPr>
                <w:sz w:val="18"/>
              </w:rPr>
              <w:t>Chosen by the user; not a service provider of the operator</w:t>
            </w:r>
          </w:p>
        </w:tc>
        <w:tc>
          <w:tcPr>
            <w:tcW w:type="dxa" w:w="2995"/>
          </w:tcPr>
          <w:p>
            <w:pPr>
              <w:spacing w:after="0"/>
            </w:pPr>
            <w:r>
              <w:rPr>
                <w:sz w:val="18"/>
              </w:rPr>
              <w:t>Prompts; Read Mode snapshots; AI-generated edits</w:t>
            </w:r>
          </w:p>
        </w:tc>
        <w:tc>
          <w:tcPr>
            <w:tcW w:type="dxa" w:w="1051"/>
          </w:tcPr>
          <w:p>
            <w:pPr>
              <w:spacing w:after="0"/>
            </w:pPr>
            <w:r>
              <w:rPr>
                <w:sz w:val="18"/>
              </w:rPr>
              <w:t>3</w:t>
            </w:r>
          </w:p>
        </w:tc>
        <w:tc>
          <w:tcPr>
            <w:tcW w:type="dxa" w:w="1376"/>
          </w:tcPr>
          <w:p>
            <w:pPr>
              <w:spacing w:after="0"/>
            </w:pPr>
            <w:hyperlink r:id="rId13">
              <w:r>
                <w:rPr>
                  <w:color w:val="1d4ed8"/>
                  <w:sz w:val="18"/>
                  <w:u w:val="single"/>
                </w:rPr>
                <w:t xml:space="preserve">Privacy</w:t>
              </w:r>
            </w:hyperlink>
            <w:r>
              <w:rPr>
                <w:sz w:val="18"/>
              </w:rPr>
              <w:t xml:space="preserve"> §4.5</w:t>
            </w:r>
          </w:p>
        </w:tc>
      </w:tr>
    </w:tbl>
    <w:p>
      <w:pPr>
        <w:spacing w:after="40"/>
      </w:pPr>
    </w:p>
    <w:p>
      <w:r>
        <w:rPr/>
        <w:t xml:space="preserve">Microsoft (Exchange Online), which hosts the operator's </w:t>
      </w:r>
      <w:hyperlink r:id="rId22">
        <w:r>
          <w:rPr>
            <w:color w:val="1d4ed8"/>
            <w:u w:val="single"/>
          </w:rPr>
          <w:t xml:space="preserve">spertsuite.com</w:t>
        </w:r>
      </w:hyperlink>
      <w:r>
        <w:rPr/>
        <w:t xml:space="preserve"> mailbox and so receives anything emailed to those addresses (</w:t>
      </w:r>
      <w:hyperlink r:id="rId13">
        <w:r>
          <w:rPr>
            <w:color w:val="1d4ed8"/>
            <w:u w:val="single"/>
          </w:rPr>
          <w:t xml:space="preserve">Privacy</w:t>
        </w:r>
      </w:hyperlink>
      <w:r>
        <w:rPr/>
        <w:t xml:space="preserve"> §2.7, §4.6), Formspree (website contact forms) and Stripe ("if subscription payments are implemented") are also named in </w:t>
      </w:r>
      <w:hyperlink r:id="rId13">
        <w:r>
          <w:rPr>
            <w:color w:val="1d4ed8"/>
            <w:u w:val="single"/>
          </w:rPr>
          <w:t xml:space="preserve">Privacy Policy</w:t>
        </w:r>
      </w:hyperlink>
      <w:r>
        <w:rPr/>
        <w:t xml:space="preserve"> §4 but play no part in using the apps. No separate subprocessor list is published. Google Cloud and Vercel publish their own security and compliance reports, which cover their infrastructure, not SPERT</w:t>
      </w:r>
      <w:r>
        <w:rPr>
          <w:vertAlign w:val="superscript"/>
        </w:rPr>
        <w:t>®</w:t>
      </w:r>
      <w:r>
        <w:rPr/>
        <w:t xml:space="preserve"> Suite's code; </w:t>
      </w:r>
      <w:r>
        <w:rPr>
          <w:highlight w:val="yellow"/>
        </w:rPr>
        <w:t>[REVIEWING TEAM]</w:t>
      </w:r>
      <w:r>
        <w:rPr/>
        <w:t xml:space="preserve"> should read the current versions directly.</w:t>
      </w:r>
    </w:p>
    <w:p>
      <w:pPr>
        <w:pStyle w:val="Heading2"/>
      </w:pPr>
      <w:r>
        <w:rPr/>
        <w:t>11. Retention, deletion and portability</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612"/>
        <w:gridCol w:w="5288"/>
        <w:gridCol w:w="2468"/>
      </w:tblGrid>
      <w:tr>
        <w:trPr>
          <w:cantSplit/>
          <w:tblHeader w:val="true"/>
        </w:trPr>
        <w:tc>
          <w:tcPr>
            <w:tcW w:type="dxa" w:w="2612"/>
            <w:shd w:val="clear" w:color="auto" w:fill="1d4ed8"/>
          </w:tcPr>
          <w:p>
            <w:pPr>
              <w:spacing w:after="0"/>
            </w:pPr>
            <w:r>
              <w:rPr>
                <w:b/>
                <w:color w:val="FFFFFF"/>
                <w:sz w:val="18"/>
              </w:rPr>
              <w:t>Topic</w:t>
            </w:r>
          </w:p>
        </w:tc>
        <w:tc>
          <w:tcPr>
            <w:tcW w:type="dxa" w:w="5288"/>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468"/>
            <w:shd w:val="clear" w:color="auto" w:fill="1d4ed8"/>
          </w:tcPr>
          <w:p>
            <w:pPr>
              <w:spacing w:after="0"/>
            </w:pPr>
            <w:r>
              <w:rPr>
                <w:b/>
                <w:color w:val="FFFFFF"/>
                <w:sz w:val="18"/>
              </w:rPr>
              <w:t>Requirement and finding</w:t>
            </w:r>
          </w:p>
        </w:tc>
      </w:tr>
      <w:tr>
        <w:trPr>
          <w:cantSplit/>
        </w:trPr>
        <w:tc>
          <w:tcPr>
            <w:tcW w:type="dxa" w:w="2612"/>
          </w:tcPr>
          <w:p>
            <w:pPr>
              <w:spacing w:after="0"/>
            </w:pPr>
            <w:r>
              <w:rPr>
                <w:sz w:val="18"/>
              </w:rPr>
              <w:t>Retention</w:t>
            </w:r>
          </w:p>
        </w:tc>
        <w:tc>
          <w:tcPr>
            <w:tcW w:type="dxa" w:w="5288"/>
          </w:tcPr>
          <w:p>
            <w:pPr>
              <w:spacing w:after="0"/>
            </w:pPr>
            <w:r>
              <w:rPr>
                <w:sz w:val="18"/>
              </w:rPr>
              <w:t>Cloud data while the account is active; logs 30 days; invitation records until purged; backups up to 98 days (</w:t>
            </w:r>
            <w:hyperlink r:id="rId13">
              <w:r>
                <w:rPr>
                  <w:color w:val="1d4ed8"/>
                  <w:sz w:val="18"/>
                  <w:u w:val="single"/>
                </w:rPr>
                <w:t xml:space="preserve">Privacy</w:t>
              </w:r>
            </w:hyperlink>
            <w:r>
              <w:rPr>
                <w:sz w:val="18"/>
              </w:rPr>
              <w:t xml:space="preserve"> §2.3, §2.6, §6)</w:t>
            </w:r>
          </w:p>
        </w:tc>
        <w:tc>
          <w:tcPr>
            <w:tcW w:type="dxa" w:w="2468"/>
          </w:tcPr>
          <w:p>
            <w:pPr>
              <w:spacing w:after="0"/>
            </w:pPr>
            <w:r>
              <w:rPr>
                <w:sz w:val="18"/>
                <w:highlight w:val="yellow"/>
              </w:rPr>
              <w:t>[REQUIREMENT / FINDING]</w:t>
            </w:r>
          </w:p>
        </w:tc>
      </w:tr>
      <w:tr>
        <w:trPr>
          <w:cantSplit/>
        </w:trPr>
        <w:tc>
          <w:tcPr>
            <w:tcW w:type="dxa" w:w="2612"/>
            <w:shd w:val="clear" w:color="auto" w:fill="f1f5f9"/>
          </w:tcPr>
          <w:p>
            <w:pPr>
              <w:spacing w:after="0"/>
            </w:pPr>
            <w:r>
              <w:rPr>
                <w:sz w:val="18"/>
              </w:rPr>
              <w:t>Deletion</w:t>
            </w:r>
          </w:p>
        </w:tc>
        <w:tc>
          <w:tcPr>
            <w:tcW w:type="dxa" w:w="5288"/>
            <w:shd w:val="clear" w:color="auto" w:fill="f1f5f9"/>
          </w:tcPr>
          <w:p>
            <w:pPr>
              <w:spacing w:after="0"/>
            </w:pPr>
            <w:r>
              <w:rPr>
                <w:sz w:val="18"/>
              </w:rPr>
              <w:t>By request; "not to exceed thirty (30) days under normal circumstances"; no self-service control (</w:t>
            </w:r>
            <w:hyperlink r:id="rId13">
              <w:r>
                <w:rPr>
                  <w:color w:val="1d4ed8"/>
                  <w:sz w:val="18"/>
                  <w:u w:val="single"/>
                </w:rPr>
                <w:t xml:space="preserve">Privacy</w:t>
              </w:r>
            </w:hyperlink>
            <w:r>
              <w:rPr>
                <w:sz w:val="18"/>
              </w:rPr>
              <w:t xml:space="preserve"> §6, §7.3). Google's Firebase Authentication may keep a deleted account's sign-in information for up to 180 days (§6). Turning off cloud storage does not delete stored data (§7.4). Local data is deleted by the user</w:t>
            </w:r>
          </w:p>
        </w:tc>
        <w:tc>
          <w:tcPr>
            <w:tcW w:type="dxa" w:w="2468"/>
            <w:shd w:val="clear" w:color="auto" w:fill="f1f5f9"/>
          </w:tcPr>
          <w:p>
            <w:pPr>
              <w:spacing w:after="0"/>
            </w:pPr>
            <w:r>
              <w:rPr>
                <w:sz w:val="18"/>
                <w:highlight w:val="yellow"/>
              </w:rPr>
              <w:t>[REQUIREMENT / FINDING]</w:t>
            </w:r>
          </w:p>
        </w:tc>
      </w:tr>
      <w:tr>
        <w:trPr>
          <w:cantSplit/>
        </w:trPr>
        <w:tc>
          <w:tcPr>
            <w:tcW w:type="dxa" w:w="2612"/>
          </w:tcPr>
          <w:p>
            <w:pPr>
              <w:spacing w:after="0"/>
            </w:pPr>
            <w:r>
              <w:rPr>
                <w:sz w:val="18"/>
              </w:rPr>
              <w:t>Portability</w:t>
            </w:r>
          </w:p>
        </w:tc>
        <w:tc>
          <w:tcPr>
            <w:tcW w:type="dxa" w:w="5288"/>
          </w:tcPr>
          <w:p>
            <w:pPr>
              <w:spacing w:after="0"/>
            </w:pPr>
            <w:r>
              <w:rPr>
                <w:sz w:val="18"/>
              </w:rPr>
              <w:t>Projects can be exported from each app at any time (</w:t>
            </w:r>
            <w:hyperlink r:id="rId13">
              <w:r>
                <w:rPr>
                  <w:color w:val="1d4ed8"/>
                  <w:sz w:val="18"/>
                  <w:u w:val="single"/>
                </w:rPr>
                <w:t xml:space="preserve">Privacy</w:t>
              </w:r>
            </w:hyperlink>
            <w:r>
              <w:rPr>
                <w:sz w:val="18"/>
              </w:rPr>
              <w:t xml:space="preserve"> §7.1)</w:t>
            </w:r>
          </w:p>
        </w:tc>
        <w:tc>
          <w:tcPr>
            <w:tcW w:type="dxa" w:w="2468"/>
          </w:tcPr>
          <w:p>
            <w:pPr>
              <w:spacing w:after="0"/>
            </w:pPr>
            <w:r>
              <w:rPr>
                <w:sz w:val="18"/>
                <w:highlight w:val="yellow"/>
              </w:rPr>
              <w:t>[REQUIREMENT / FINDING]</w:t>
            </w:r>
          </w:p>
        </w:tc>
      </w:tr>
      <w:tr>
        <w:trPr>
          <w:cantSplit/>
        </w:trPr>
        <w:tc>
          <w:tcPr>
            <w:tcW w:type="dxa" w:w="2612"/>
            <w:shd w:val="clear" w:color="auto" w:fill="f1f5f9"/>
          </w:tcPr>
          <w:p>
            <w:pPr>
              <w:spacing w:after="0"/>
            </w:pPr>
            <w:r>
              <w:rPr>
                <w:sz w:val="18"/>
              </w:rPr>
              <w:t xml:space="preserve">Backups for </w:t>
            </w:r>
            <w:r>
              <w:rPr>
                <w:sz w:val="18"/>
                <w:highlight w:val="yellow"/>
              </w:rPr>
              <w:t>[ORGANIZATION]</w:t>
            </w:r>
          </w:p>
        </w:tc>
        <w:tc>
          <w:tcPr>
            <w:tcW w:type="dxa" w:w="5288"/>
            <w:shd w:val="clear" w:color="auto" w:fill="f1f5f9"/>
          </w:tcPr>
          <w:p>
            <w:pPr>
              <w:spacing w:after="0"/>
            </w:pPr>
            <w:r>
              <w:rPr>
                <w:sz w:val="18"/>
              </w:rPr>
              <w:t>None: operator backups are "not available to you as a restore service" (</w:t>
            </w:r>
            <w:hyperlink r:id="rId13">
              <w:r>
                <w:rPr>
                  <w:color w:val="1d4ed8"/>
                  <w:sz w:val="18"/>
                  <w:u w:val="single"/>
                </w:rPr>
                <w:t xml:space="preserve">Privacy</w:t>
              </w:r>
            </w:hyperlink>
            <w:r>
              <w:rPr>
                <w:sz w:val="18"/>
              </w:rPr>
              <w:t xml:space="preserve"> §6); users are "solely responsible for maintaining independent backups" (</w:t>
            </w:r>
            <w:hyperlink r:id="rId12">
              <w:r>
                <w:rPr>
                  <w:color w:val="1d4ed8"/>
                  <w:sz w:val="18"/>
                  <w:u w:val="single"/>
                </w:rPr>
                <w:t xml:space="preserve">ToS</w:t>
              </w:r>
            </w:hyperlink>
            <w:r>
              <w:rPr>
                <w:sz w:val="18"/>
              </w:rPr>
              <w:t xml:space="preserve"> §5.2)</w:t>
            </w:r>
          </w:p>
        </w:tc>
        <w:tc>
          <w:tcPr>
            <w:tcW w:type="dxa" w:w="2468"/>
            <w:shd w:val="clear" w:color="auto" w:fill="f1f5f9"/>
          </w:tcPr>
          <w:p>
            <w:pPr>
              <w:spacing w:after="0"/>
            </w:pPr>
            <w:r>
              <w:rPr>
                <w:sz w:val="18"/>
                <w:highlight w:val="yellow"/>
              </w:rPr>
              <w:t>[REQUIREMENT / FINDING]</w:t>
            </w:r>
          </w:p>
        </w:tc>
      </w:tr>
    </w:tbl>
    <w:p>
      <w:pPr>
        <w:spacing w:after="40"/>
      </w:pPr>
    </w:p>
    <w:p>
      <w:pPr>
        <w:pStyle w:val="Heading2"/>
      </w:pPr>
      <w:r>
        <w:rPr/>
        <w:t>12. Incident response and continuity</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062"/>
        <w:gridCol w:w="5732"/>
        <w:gridCol w:w="2574"/>
      </w:tblGrid>
      <w:tr>
        <w:trPr>
          <w:cantSplit/>
          <w:tblHeader w:val="true"/>
        </w:trPr>
        <w:tc>
          <w:tcPr>
            <w:tcW w:type="dxa" w:w="2062"/>
            <w:shd w:val="clear" w:color="auto" w:fill="1d4ed8"/>
          </w:tcPr>
          <w:p>
            <w:pPr>
              <w:spacing w:after="0"/>
            </w:pPr>
            <w:r>
              <w:rPr>
                <w:b/>
                <w:color w:val="FFFFFF"/>
                <w:sz w:val="18"/>
              </w:rPr>
              <w:t>Topic</w:t>
            </w:r>
          </w:p>
        </w:tc>
        <w:tc>
          <w:tcPr>
            <w:tcW w:type="dxa" w:w="5732"/>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 today (source)</w:t>
            </w:r>
          </w:p>
        </w:tc>
        <w:tc>
          <w:tcPr>
            <w:tcW w:type="dxa" w:w="2574"/>
            <w:shd w:val="clear" w:color="auto" w:fill="1d4ed8"/>
          </w:tcPr>
          <w:p>
            <w:pPr>
              <w:spacing w:after="0"/>
            </w:pPr>
            <w:r>
              <w:rPr>
                <w:b/>
                <w:color w:val="FFFFFF"/>
                <w:sz w:val="18"/>
              </w:rPr>
              <w:t>Requirement and finding</w:t>
            </w:r>
          </w:p>
        </w:tc>
      </w:tr>
      <w:tr>
        <w:trPr>
          <w:cantSplit/>
        </w:trPr>
        <w:tc>
          <w:tcPr>
            <w:tcW w:type="dxa" w:w="2062"/>
          </w:tcPr>
          <w:p>
            <w:pPr>
              <w:spacing w:after="0"/>
            </w:pPr>
            <w:r>
              <w:rPr>
                <w:sz w:val="18"/>
              </w:rPr>
              <w:t>Breach notification</w:t>
            </w:r>
          </w:p>
        </w:tc>
        <w:tc>
          <w:tcPr>
            <w:tcW w:type="dxa" w:w="5732"/>
          </w:tcPr>
          <w:p>
            <w:pPr>
              <w:spacing w:after="0"/>
            </w:pPr>
            <w:r>
              <w:rPr>
                <w:sz w:val="18"/>
              </w:rPr>
              <w:t>If an incident "creates a material risk of harm", affected users are notified "by email or in-app notice" and regulators "where required by applicable law" (</w:t>
            </w:r>
            <w:hyperlink r:id="rId13">
              <w:r>
                <w:rPr>
                  <w:color w:val="1d4ed8"/>
                  <w:sz w:val="18"/>
                  <w:u w:val="single"/>
                </w:rPr>
                <w:t xml:space="preserve">Privacy</w:t>
              </w:r>
            </w:hyperlink>
            <w:r>
              <w:rPr>
                <w:sz w:val="18"/>
              </w:rPr>
              <w:t xml:space="preserve"> §5.1). No contractual timeline</w:t>
            </w:r>
          </w:p>
        </w:tc>
        <w:tc>
          <w:tcPr>
            <w:tcW w:type="dxa" w:w="2574"/>
          </w:tcPr>
          <w:p>
            <w:pPr>
              <w:spacing w:after="0"/>
            </w:pPr>
            <w:r>
              <w:rPr>
                <w:sz w:val="18"/>
                <w:highlight w:val="yellow"/>
              </w:rPr>
              <w:t>[REQUIREMENT / FINDING]</w:t>
            </w:r>
          </w:p>
        </w:tc>
      </w:tr>
      <w:tr>
        <w:trPr>
          <w:cantSplit/>
        </w:trPr>
        <w:tc>
          <w:tcPr>
            <w:tcW w:type="dxa" w:w="2062"/>
            <w:shd w:val="clear" w:color="auto" w:fill="f1f5f9"/>
          </w:tcPr>
          <w:p>
            <w:pPr>
              <w:spacing w:after="0"/>
            </w:pPr>
            <w:r>
              <w:rPr>
                <w:sz w:val="18"/>
              </w:rPr>
              <w:t>Incident response plan</w:t>
            </w:r>
          </w:p>
        </w:tc>
        <w:tc>
          <w:tcPr>
            <w:tcW w:type="dxa" w:w="5732"/>
            <w:shd w:val="clear" w:color="auto" w:fill="f1f5f9"/>
          </w:tcPr>
          <w:p>
            <w:pPr>
              <w:spacing w:after="0"/>
            </w:pPr>
            <w:r>
              <w:rPr>
                <w:sz w:val="18"/>
              </w:rPr>
              <w:t>None published</w:t>
            </w:r>
          </w:p>
        </w:tc>
        <w:tc>
          <w:tcPr>
            <w:tcW w:type="dxa" w:w="2574"/>
            <w:shd w:val="clear" w:color="auto" w:fill="f1f5f9"/>
          </w:tcPr>
          <w:p>
            <w:pPr>
              <w:spacing w:after="0"/>
            </w:pPr>
            <w:r>
              <w:rPr>
                <w:sz w:val="18"/>
                <w:highlight w:val="yellow"/>
              </w:rPr>
              <w:t>[REQUIREMENT / FINDING]</w:t>
            </w:r>
          </w:p>
        </w:tc>
      </w:tr>
      <w:tr>
        <w:trPr>
          <w:cantSplit/>
        </w:trPr>
        <w:tc>
          <w:tcPr>
            <w:tcW w:type="dxa" w:w="2062"/>
          </w:tcPr>
          <w:p>
            <w:pPr>
              <w:spacing w:after="0"/>
            </w:pPr>
            <w:r>
              <w:rPr>
                <w:sz w:val="18"/>
              </w:rPr>
              <w:t>Liability</w:t>
            </w:r>
          </w:p>
        </w:tc>
        <w:tc>
          <w:tcPr>
            <w:tcW w:type="dxa" w:w="5732"/>
          </w:tcPr>
          <w:p>
            <w:pPr>
              <w:spacing w:after="0"/>
            </w:pPr>
            <w:r>
              <w:rPr>
                <w:sz w:val="18"/>
              </w:rPr>
              <w:t>Capped at the greater of $25 or fees paid in the previous 12 months (</w:t>
            </w:r>
            <w:hyperlink r:id="rId12">
              <w:r>
                <w:rPr>
                  <w:color w:val="1d4ed8"/>
                  <w:sz w:val="18"/>
                  <w:u w:val="single"/>
                </w:rPr>
                <w:t xml:space="preserve">ToS</w:t>
              </w:r>
            </w:hyperlink>
            <w:r>
              <w:rPr>
                <w:sz w:val="18"/>
              </w:rPr>
              <w:t xml:space="preserve"> §9); user indemnifies the operator (</w:t>
            </w:r>
            <w:hyperlink r:id="rId12">
              <w:r>
                <w:rPr>
                  <w:color w:val="1d4ed8"/>
                  <w:sz w:val="18"/>
                  <w:u w:val="single"/>
                </w:rPr>
                <w:t xml:space="preserve">ToS</w:t>
              </w:r>
            </w:hyperlink>
            <w:r>
              <w:rPr>
                <w:sz w:val="18"/>
              </w:rPr>
              <w:t xml:space="preserve"> §10)</w:t>
            </w:r>
          </w:p>
        </w:tc>
        <w:tc>
          <w:tcPr>
            <w:tcW w:type="dxa" w:w="2574"/>
          </w:tcPr>
          <w:p>
            <w:pPr>
              <w:spacing w:after="0"/>
            </w:pPr>
            <w:r>
              <w:rPr>
                <w:sz w:val="18"/>
                <w:highlight w:val="yellow"/>
              </w:rPr>
              <w:t>[REQUIREMENT / FINDING]</w:t>
            </w:r>
          </w:p>
        </w:tc>
      </w:tr>
      <w:tr>
        <w:trPr>
          <w:cantSplit/>
        </w:trPr>
        <w:tc>
          <w:tcPr>
            <w:tcW w:type="dxa" w:w="2062"/>
            <w:shd w:val="clear" w:color="auto" w:fill="f1f5f9"/>
          </w:tcPr>
          <w:p>
            <w:pPr>
              <w:spacing w:after="0"/>
            </w:pPr>
            <w:r>
              <w:rPr>
                <w:sz w:val="18"/>
              </w:rPr>
              <w:t>Continuity</w:t>
            </w:r>
          </w:p>
        </w:tc>
        <w:tc>
          <w:tcPr>
            <w:tcW w:type="dxa" w:w="5732"/>
            <w:shd w:val="clear" w:color="auto" w:fill="f1f5f9"/>
          </w:tcPr>
          <w:p>
            <w:pPr>
              <w:spacing w:after="0"/>
            </w:pPr>
            <w:r>
              <w:rPr>
                <w:sz w:val="18"/>
              </w:rPr>
              <w:t>No continuity plan; single operator. Local data keeps working while the site is served; projects can be exported; the GPL permits self-hosting under a different name</w:t>
            </w:r>
          </w:p>
        </w:tc>
        <w:tc>
          <w:tcPr>
            <w:tcW w:type="dxa" w:w="2574"/>
            <w:shd w:val="clear" w:color="auto" w:fill="f1f5f9"/>
          </w:tcPr>
          <w:p>
            <w:pPr>
              <w:spacing w:after="0"/>
            </w:pPr>
            <w:r>
              <w:rPr>
                <w:sz w:val="18"/>
                <w:highlight w:val="yellow"/>
              </w:rPr>
              <w:t>[REQUIREMENT / FINDING]</w:t>
            </w:r>
          </w:p>
        </w:tc>
      </w:tr>
    </w:tbl>
    <w:p>
      <w:pPr>
        <w:spacing w:after="40"/>
      </w:pPr>
    </w:p>
    <w:p>
      <w:pPr>
        <w:pStyle w:val="Heading2"/>
      </w:pPr>
      <w:r>
        <w:rPr/>
        <w:t>13. Assurance</w:t>
      </w:r>
    </w:p>
    <w:p>
      <w:r>
        <w:rPr/>
        <w:t>The operator holds no certification (SOC 2, ISO 27001 or similar), has not completed a formal security questionnaire (CAIQ, SIG, HECVAT) and has had no independent penetration test. Evidence available instead: public source code; documented self-reviews and public changelogs; the hosting providers' own reports for their layers; and tier 1, in which no project data leaves the device. The operator says further security documentation is in preparation; it is not published, and none of it is an independent assessment.</w:t>
      </w:r>
    </w:p>
    <w:p>
      <w:pPr>
        <w:pStyle w:val="Heading2"/>
      </w:pPr>
      <w:r>
        <w:rPr/>
        <w:t>14. Gaps and the organization's response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40"/>
        <w:gridCol w:w="3455"/>
        <w:gridCol w:w="1151"/>
        <w:gridCol w:w="3353"/>
        <w:gridCol w:w="1969"/>
      </w:tblGrid>
      <w:tr>
        <w:trPr>
          <w:cantSplit/>
          <w:tblHeader w:val="true"/>
        </w:trPr>
        <w:tc>
          <w:tcPr>
            <w:tcW w:type="dxa" w:w="440"/>
            <w:shd w:val="clear" w:color="auto" w:fill="1d4ed8"/>
          </w:tcPr>
          <w:p>
            <w:pPr>
              <w:spacing w:after="0"/>
            </w:pPr>
            <w:r>
              <w:rPr>
                <w:b/>
                <w:color w:val="FFFFFF"/>
                <w:sz w:val="18"/>
              </w:rPr>
              <w:t>#</w:t>
            </w:r>
          </w:p>
        </w:tc>
        <w:tc>
          <w:tcPr>
            <w:tcW w:type="dxa" w:w="3455"/>
            <w:shd w:val="clear" w:color="auto" w:fill="1d4ed8"/>
          </w:tcPr>
          <w:p>
            <w:pPr>
              <w:spacing w:after="0"/>
            </w:pPr>
            <w:r>
              <w:rPr>
                <w:b/>
                <w:color w:val="FFFFFF"/>
                <w:sz w:val="18"/>
              </w:rPr>
              <w:t>Gap</w:t>
            </w:r>
          </w:p>
        </w:tc>
        <w:tc>
          <w:tcPr>
            <w:tcW w:type="dxa" w:w="1151"/>
            <w:shd w:val="clear" w:color="auto" w:fill="1d4ed8"/>
          </w:tcPr>
          <w:p>
            <w:pPr>
              <w:spacing w:after="0"/>
            </w:pPr>
            <w:r>
              <w:rPr>
                <w:b/>
                <w:color w:val="FFFFFF"/>
                <w:sz w:val="18"/>
              </w:rPr>
              <w:t>Tiers affected</w:t>
            </w:r>
          </w:p>
        </w:tc>
        <w:tc>
          <w:tcPr>
            <w:tcW w:type="dxa" w:w="3353"/>
            <w:shd w:val="clear" w:color="auto" w:fill="1d4ed8"/>
          </w:tcPr>
          <w:p>
            <w:pPr>
              <w:spacing w:after="0"/>
            </w:pPr>
            <w:r>
              <w:rPr>
                <w:b/>
                <w:color w:val="FFFFFF"/>
                <w:sz w:val="18"/>
              </w:rPr>
              <w:t>Possible compensating control</w:t>
            </w:r>
          </w:p>
        </w:tc>
        <w:tc>
          <w:tcPr>
            <w:tcW w:type="dxa" w:w="1969"/>
            <w:shd w:val="clear" w:color="auto" w:fill="1d4ed8"/>
          </w:tcPr>
          <w:p>
            <w:pPr>
              <w:spacing w:after="0"/>
            </w:pPr>
            <w:r>
              <w:rPr>
                <w:b/>
                <w:color w:val="FFFFFF"/>
                <w:sz w:val="18"/>
              </w:rPr>
              <w:t>Decision</w:t>
            </w:r>
          </w:p>
        </w:tc>
      </w:tr>
      <w:tr>
        <w:trPr>
          <w:cantSplit/>
        </w:trPr>
        <w:tc>
          <w:tcPr>
            <w:tcW w:type="dxa" w:w="440"/>
          </w:tcPr>
          <w:p>
            <w:pPr>
              <w:spacing w:after="0"/>
            </w:pPr>
            <w:r>
              <w:rPr>
                <w:sz w:val="18"/>
              </w:rPr>
              <w:t>1</w:t>
            </w:r>
          </w:p>
        </w:tc>
        <w:tc>
          <w:tcPr>
            <w:tcW w:type="dxa" w:w="3455"/>
          </w:tcPr>
          <w:p>
            <w:pPr>
              <w:spacing w:after="0"/>
            </w:pPr>
            <w:r>
              <w:rPr>
                <w:sz w:val="18"/>
              </w:rPr>
              <w:t>No certification, independent audit or penetration test</w:t>
            </w:r>
          </w:p>
        </w:tc>
        <w:tc>
          <w:tcPr>
            <w:tcW w:type="dxa" w:w="1151"/>
          </w:tcPr>
          <w:p>
            <w:pPr>
              <w:spacing w:after="0"/>
            </w:pPr>
            <w:r>
              <w:rPr>
                <w:sz w:val="18"/>
              </w:rPr>
              <w:t>2, 3</w:t>
            </w:r>
          </w:p>
        </w:tc>
        <w:tc>
          <w:tcPr>
            <w:tcW w:type="dxa" w:w="3353"/>
          </w:tcPr>
          <w:p>
            <w:pPr>
              <w:spacing w:after="0"/>
            </w:pPr>
            <w:r>
              <w:rPr>
                <w:sz w:val="18"/>
              </w:rPr>
              <w:t>Tier 1 only; review of public source</w:t>
            </w:r>
          </w:p>
        </w:tc>
        <w:tc>
          <w:tcPr>
            <w:tcW w:type="dxa" w:w="1969"/>
          </w:tcPr>
          <w:p>
            <w:pPr>
              <w:spacing w:after="0"/>
            </w:pPr>
            <w:r>
              <w:rPr>
                <w:sz w:val="18"/>
                <w:highlight w:val="yellow"/>
              </w:rPr>
              <w:t>[ACCEPT / MITIGATE / DECLINE]</w:t>
            </w:r>
          </w:p>
        </w:tc>
      </w:tr>
      <w:tr>
        <w:trPr>
          <w:cantSplit/>
        </w:trPr>
        <w:tc>
          <w:tcPr>
            <w:tcW w:type="dxa" w:w="440"/>
            <w:shd w:val="clear" w:color="auto" w:fill="f1f5f9"/>
          </w:tcPr>
          <w:p>
            <w:pPr>
              <w:spacing w:after="0"/>
            </w:pPr>
            <w:r>
              <w:rPr>
                <w:sz w:val="18"/>
              </w:rPr>
              <w:t>2</w:t>
            </w:r>
          </w:p>
        </w:tc>
        <w:tc>
          <w:tcPr>
            <w:tcW w:type="dxa" w:w="3455"/>
            <w:shd w:val="clear" w:color="auto" w:fill="f1f5f9"/>
          </w:tcPr>
          <w:p>
            <w:pPr>
              <w:spacing w:after="0"/>
            </w:pPr>
            <w:r>
              <w:rPr>
                <w:sz w:val="18"/>
              </w:rPr>
              <w:t>No DPA; operator is controller (</w:t>
            </w:r>
            <w:hyperlink r:id="rId13">
              <w:r>
                <w:rPr>
                  <w:color w:val="1d4ed8"/>
                  <w:sz w:val="18"/>
                  <w:u w:val="single"/>
                </w:rPr>
                <w:t xml:space="preserve">Privacy</w:t>
              </w:r>
            </w:hyperlink>
            <w:r>
              <w:rPr>
                <w:sz w:val="18"/>
              </w:rPr>
              <w:t xml:space="preserve"> §7.6)</w:t>
            </w:r>
          </w:p>
        </w:tc>
        <w:tc>
          <w:tcPr>
            <w:tcW w:type="dxa" w:w="1151"/>
            <w:shd w:val="clear" w:color="auto" w:fill="f1f5f9"/>
          </w:tcPr>
          <w:p>
            <w:pPr>
              <w:spacing w:after="0"/>
            </w:pPr>
            <w:r>
              <w:rPr>
                <w:sz w:val="18"/>
              </w:rPr>
              <w:t>2, 3</w:t>
            </w:r>
          </w:p>
        </w:tc>
        <w:tc>
          <w:tcPr>
            <w:tcW w:type="dxa" w:w="3353"/>
            <w:shd w:val="clear" w:color="auto" w:fill="f1f5f9"/>
          </w:tcPr>
          <w:p>
            <w:pPr>
              <w:spacing w:after="0"/>
            </w:pPr>
            <w:r>
              <w:rPr>
                <w:sz w:val="18"/>
              </w:rPr>
              <w:t>Tier 1 only; no personal data beyond users' own name and email</w:t>
            </w:r>
          </w:p>
        </w:tc>
        <w:tc>
          <w:tcPr>
            <w:tcW w:type="dxa" w:w="1969"/>
            <w:shd w:val="clear" w:color="auto" w:fill="f1f5f9"/>
          </w:tcPr>
          <w:p>
            <w:pPr>
              <w:spacing w:after="0"/>
            </w:pPr>
            <w:r>
              <w:rPr>
                <w:sz w:val="18"/>
                <w:highlight w:val="yellow"/>
              </w:rPr>
              <w:t>[ACCEPT / MITIGATE / DECLINE]</w:t>
            </w:r>
          </w:p>
        </w:tc>
      </w:tr>
      <w:tr>
        <w:trPr>
          <w:cantSplit/>
        </w:trPr>
        <w:tc>
          <w:tcPr>
            <w:tcW w:type="dxa" w:w="440"/>
          </w:tcPr>
          <w:p>
            <w:pPr>
              <w:spacing w:after="0"/>
            </w:pPr>
            <w:r>
              <w:rPr>
                <w:sz w:val="18"/>
              </w:rPr>
              <w:t>3</w:t>
            </w:r>
          </w:p>
        </w:tc>
        <w:tc>
          <w:tcPr>
            <w:tcW w:type="dxa" w:w="3455"/>
          </w:tcPr>
          <w:p>
            <w:pPr>
              <w:spacing w:after="0"/>
            </w:pPr>
            <w:r>
              <w:rPr>
                <w:sz w:val="18"/>
              </w:rPr>
              <w:t>No SLA, support or continuity commitment</w:t>
            </w:r>
          </w:p>
        </w:tc>
        <w:tc>
          <w:tcPr>
            <w:tcW w:type="dxa" w:w="1151"/>
          </w:tcPr>
          <w:p>
            <w:pPr>
              <w:spacing w:after="0"/>
            </w:pPr>
            <w:r>
              <w:rPr>
                <w:sz w:val="18"/>
              </w:rPr>
              <w:t>All</w:t>
            </w:r>
          </w:p>
        </w:tc>
        <w:tc>
          <w:tcPr>
            <w:tcW w:type="dxa" w:w="3353"/>
          </w:tcPr>
          <w:p>
            <w:pPr>
              <w:spacing w:after="0"/>
            </w:pPr>
            <w:r>
              <w:rPr>
                <w:sz w:val="18"/>
              </w:rPr>
              <w:t>Non-critical use; regular exports</w:t>
            </w:r>
          </w:p>
        </w:tc>
        <w:tc>
          <w:tcPr>
            <w:tcW w:type="dxa" w:w="1969"/>
          </w:tcPr>
          <w:p>
            <w:pPr>
              <w:spacing w:after="0"/>
            </w:pPr>
            <w:r>
              <w:rPr>
                <w:sz w:val="18"/>
                <w:highlight w:val="yellow"/>
              </w:rPr>
              <w:t>[ACCEPT / MITIGATE / DECLINE]</w:t>
            </w:r>
          </w:p>
        </w:tc>
      </w:tr>
      <w:tr>
        <w:trPr>
          <w:cantSplit/>
        </w:trPr>
        <w:tc>
          <w:tcPr>
            <w:tcW w:type="dxa" w:w="440"/>
            <w:shd w:val="clear" w:color="auto" w:fill="f1f5f9"/>
          </w:tcPr>
          <w:p>
            <w:pPr>
              <w:spacing w:after="0"/>
            </w:pPr>
            <w:r>
              <w:rPr>
                <w:sz w:val="18"/>
              </w:rPr>
              <w:t>4</w:t>
            </w:r>
          </w:p>
        </w:tc>
        <w:tc>
          <w:tcPr>
            <w:tcW w:type="dxa" w:w="3455"/>
            <w:shd w:val="clear" w:color="auto" w:fill="f1f5f9"/>
          </w:tcPr>
          <w:p>
            <w:pPr>
              <w:spacing w:after="0"/>
            </w:pPr>
            <w:r>
              <w:rPr>
                <w:sz w:val="18"/>
              </w:rPr>
              <w:t>No SSO enforcement, SCIM, admin console or audit log</w:t>
            </w:r>
          </w:p>
        </w:tc>
        <w:tc>
          <w:tcPr>
            <w:tcW w:type="dxa" w:w="1151"/>
            <w:shd w:val="clear" w:color="auto" w:fill="f1f5f9"/>
          </w:tcPr>
          <w:p>
            <w:pPr>
              <w:spacing w:after="0"/>
            </w:pPr>
            <w:r>
              <w:rPr>
                <w:sz w:val="18"/>
              </w:rPr>
              <w:t>2</w:t>
            </w:r>
          </w:p>
        </w:tc>
        <w:tc>
          <w:tcPr>
            <w:tcW w:type="dxa" w:w="3353"/>
            <w:shd w:val="clear" w:color="auto" w:fill="f1f5f9"/>
          </w:tcPr>
          <w:p>
            <w:pPr>
              <w:spacing w:after="0"/>
            </w:pPr>
            <w:r>
              <w:rPr>
                <w:sz w:val="18"/>
              </w:rPr>
              <w:t>Work accounts required by policy; classification limit</w:t>
            </w:r>
          </w:p>
        </w:tc>
        <w:tc>
          <w:tcPr>
            <w:tcW w:type="dxa" w:w="1969"/>
            <w:shd w:val="clear" w:color="auto" w:fill="f1f5f9"/>
          </w:tcPr>
          <w:p>
            <w:pPr>
              <w:spacing w:after="0"/>
            </w:pPr>
            <w:r>
              <w:rPr>
                <w:sz w:val="18"/>
                <w:highlight w:val="yellow"/>
              </w:rPr>
              <w:t>[ACCEPT / MITIGATE / DECLINE]</w:t>
            </w:r>
          </w:p>
        </w:tc>
      </w:tr>
      <w:tr>
        <w:trPr>
          <w:cantSplit/>
        </w:trPr>
        <w:tc>
          <w:tcPr>
            <w:tcW w:type="dxa" w:w="440"/>
          </w:tcPr>
          <w:p>
            <w:pPr>
              <w:spacing w:after="0"/>
            </w:pPr>
            <w:r>
              <w:rPr>
                <w:sz w:val="18"/>
              </w:rPr>
              <w:t>5</w:t>
            </w:r>
          </w:p>
        </w:tc>
        <w:tc>
          <w:tcPr>
            <w:tcW w:type="dxa" w:w="3455"/>
          </w:tcPr>
          <w:p>
            <w:pPr>
              <w:spacing w:after="0"/>
            </w:pPr>
            <w:r>
              <w:rPr>
                <w:sz w:val="18"/>
              </w:rPr>
              <w:t>No organization switch for Connect AI</w:t>
            </w:r>
          </w:p>
        </w:tc>
        <w:tc>
          <w:tcPr>
            <w:tcW w:type="dxa" w:w="1151"/>
          </w:tcPr>
          <w:p>
            <w:pPr>
              <w:spacing w:after="0"/>
            </w:pPr>
            <w:r>
              <w:rPr>
                <w:sz w:val="18"/>
              </w:rPr>
              <w:t>3</w:t>
            </w:r>
          </w:p>
        </w:tc>
        <w:tc>
          <w:tcPr>
            <w:tcW w:type="dxa" w:w="3353"/>
          </w:tcPr>
          <w:p>
            <w:pPr>
              <w:spacing w:after="0"/>
            </w:pPr>
            <w:r>
              <w:rPr>
                <w:sz w:val="18"/>
              </w:rPr>
              <w:t xml:space="preserve">Acceptable-use rule; </w:t>
            </w:r>
            <w:r>
              <w:rPr>
                <w:sz w:val="18"/>
                <w:highlight w:val="yellow"/>
              </w:rPr>
              <w:t>[AI PLATFORM]</w:t>
            </w:r>
            <w:r>
              <w:rPr>
                <w:sz w:val="18"/>
              </w:rPr>
              <w:t xml:space="preserve"> connector controls</w:t>
            </w:r>
          </w:p>
        </w:tc>
        <w:tc>
          <w:tcPr>
            <w:tcW w:type="dxa" w:w="1969"/>
          </w:tcPr>
          <w:p>
            <w:pPr>
              <w:spacing w:after="0"/>
            </w:pPr>
            <w:r>
              <w:rPr>
                <w:sz w:val="18"/>
                <w:highlight w:val="yellow"/>
              </w:rPr>
              <w:t>[ACCEPT / MITIGATE / DECLINE]</w:t>
            </w:r>
          </w:p>
        </w:tc>
      </w:tr>
      <w:tr>
        <w:trPr>
          <w:cantSplit/>
        </w:trPr>
        <w:tc>
          <w:tcPr>
            <w:tcW w:type="dxa" w:w="440"/>
            <w:shd w:val="clear" w:color="auto" w:fill="f1f5f9"/>
          </w:tcPr>
          <w:p>
            <w:pPr>
              <w:spacing w:after="0"/>
            </w:pPr>
            <w:r>
              <w:rPr>
                <w:sz w:val="18"/>
              </w:rPr>
              <w:t>5a</w:t>
            </w:r>
          </w:p>
        </w:tc>
        <w:tc>
          <w:tcPr>
            <w:tcW w:type="dxa" w:w="3455"/>
            <w:shd w:val="clear" w:color="auto" w:fill="f1f5f9"/>
          </w:tcPr>
          <w:p>
            <w:pPr>
              <w:spacing w:after="0"/>
            </w:pPr>
            <w:r>
              <w:rPr>
                <w:sz w:val="18"/>
              </w:rPr>
              <w:t>Microsoft sign-in may need admin consent in Entra ID (app not yet from a verified publisher)</w:t>
            </w:r>
          </w:p>
        </w:tc>
        <w:tc>
          <w:tcPr>
            <w:tcW w:type="dxa" w:w="1151"/>
            <w:shd w:val="clear" w:color="auto" w:fill="f1f5f9"/>
          </w:tcPr>
          <w:p>
            <w:pPr>
              <w:spacing w:after="0"/>
            </w:pPr>
            <w:r>
              <w:rPr>
                <w:sz w:val="18"/>
              </w:rPr>
              <w:t>2</w:t>
            </w:r>
          </w:p>
        </w:tc>
        <w:tc>
          <w:tcPr>
            <w:tcW w:type="dxa" w:w="3353"/>
            <w:shd w:val="clear" w:color="auto" w:fill="f1f5f9"/>
          </w:tcPr>
          <w:p>
            <w:pPr>
              <w:spacing w:after="0"/>
            </w:pPr>
            <w:r>
              <w:rPr>
                <w:sz w:val="18"/>
              </w:rPr>
              <w:t>Entra administrator grants consent; or Google sign-in; or tier 1 only</w:t>
            </w:r>
          </w:p>
        </w:tc>
        <w:tc>
          <w:tcPr>
            <w:tcW w:type="dxa" w:w="1969"/>
            <w:shd w:val="clear" w:color="auto" w:fill="f1f5f9"/>
          </w:tcPr>
          <w:p>
            <w:pPr>
              <w:spacing w:after="0"/>
            </w:pPr>
            <w:r>
              <w:rPr>
                <w:sz w:val="18"/>
                <w:highlight w:val="yellow"/>
              </w:rPr>
              <w:t>[ACCEPT / MITIGATE / DECLINE]</w:t>
            </w:r>
          </w:p>
        </w:tc>
      </w:tr>
      <w:tr>
        <w:trPr>
          <w:cantSplit/>
        </w:trPr>
        <w:tc>
          <w:tcPr>
            <w:tcW w:type="dxa" w:w="440"/>
          </w:tcPr>
          <w:p>
            <w:pPr>
              <w:spacing w:after="0"/>
            </w:pPr>
            <w:r>
              <w:rPr>
                <w:sz w:val="18"/>
              </w:rPr>
              <w:t>6</w:t>
            </w:r>
          </w:p>
        </w:tc>
        <w:tc>
          <w:tcPr>
            <w:tcW w:type="dxa" w:w="3455"/>
          </w:tcPr>
          <w:p>
            <w:pPr>
              <w:spacing w:after="0"/>
            </w:pPr>
            <w:r>
              <w:rPr>
                <w:sz w:val="18"/>
              </w:rPr>
              <w:t>US-only cloud storage; logs not region-restricted</w:t>
            </w:r>
          </w:p>
        </w:tc>
        <w:tc>
          <w:tcPr>
            <w:tcW w:type="dxa" w:w="1151"/>
          </w:tcPr>
          <w:p>
            <w:pPr>
              <w:spacing w:after="0"/>
            </w:pPr>
            <w:r>
              <w:rPr>
                <w:sz w:val="18"/>
              </w:rPr>
              <w:t>2, 3</w:t>
            </w:r>
          </w:p>
        </w:tc>
        <w:tc>
          <w:tcPr>
            <w:tcW w:type="dxa" w:w="3353"/>
          </w:tcPr>
          <w:p>
            <w:pPr>
              <w:spacing w:after="0"/>
            </w:pPr>
            <w:r>
              <w:rPr>
                <w:sz w:val="18"/>
              </w:rPr>
              <w:t>Tier 1 only where residency matters</w:t>
            </w:r>
          </w:p>
        </w:tc>
        <w:tc>
          <w:tcPr>
            <w:tcW w:type="dxa" w:w="1969"/>
          </w:tcPr>
          <w:p>
            <w:pPr>
              <w:spacing w:after="0"/>
            </w:pPr>
            <w:r>
              <w:rPr>
                <w:sz w:val="18"/>
                <w:highlight w:val="yellow"/>
              </w:rPr>
              <w:t>[ACCEPT / MITIGATE / DECLINE]</w:t>
            </w:r>
          </w:p>
        </w:tc>
      </w:tr>
      <w:tr>
        <w:trPr>
          <w:cantSplit/>
        </w:trPr>
        <w:tc>
          <w:tcPr>
            <w:tcW w:type="dxa" w:w="440"/>
            <w:shd w:val="clear" w:color="auto" w:fill="f1f5f9"/>
          </w:tcPr>
          <w:p>
            <w:pPr>
              <w:spacing w:after="0"/>
            </w:pPr>
            <w:r>
              <w:rPr>
                <w:sz w:val="18"/>
              </w:rPr>
              <w:t>7</w:t>
            </w:r>
          </w:p>
        </w:tc>
        <w:tc>
          <w:tcPr>
            <w:tcW w:type="dxa" w:w="3455"/>
            <w:shd w:val="clear" w:color="auto" w:fill="f1f5f9"/>
          </w:tcPr>
          <w:p>
            <w:pPr>
              <w:spacing w:after="0"/>
            </w:pPr>
            <w:r>
              <w:rPr>
                <w:sz w:val="18"/>
              </w:rPr>
              <w:t>Deletion by request only</w:t>
            </w:r>
          </w:p>
        </w:tc>
        <w:tc>
          <w:tcPr>
            <w:tcW w:type="dxa" w:w="1151"/>
            <w:shd w:val="clear" w:color="auto" w:fill="f1f5f9"/>
          </w:tcPr>
          <w:p>
            <w:pPr>
              <w:spacing w:after="0"/>
            </w:pPr>
            <w:r>
              <w:rPr>
                <w:sz w:val="18"/>
              </w:rPr>
              <w:t>2</w:t>
            </w:r>
          </w:p>
        </w:tc>
        <w:tc>
          <w:tcPr>
            <w:tcW w:type="dxa" w:w="3353"/>
            <w:shd w:val="clear" w:color="auto" w:fill="f1f5f9"/>
          </w:tcPr>
          <w:p>
            <w:pPr>
              <w:spacing w:after="0"/>
            </w:pPr>
            <w:r>
              <w:rPr>
                <w:sz w:val="18"/>
              </w:rPr>
              <w:t>Record the request process in the conditions</w:t>
            </w:r>
          </w:p>
        </w:tc>
        <w:tc>
          <w:tcPr>
            <w:tcW w:type="dxa" w:w="1969"/>
            <w:shd w:val="clear" w:color="auto" w:fill="f1f5f9"/>
          </w:tcPr>
          <w:p>
            <w:pPr>
              <w:spacing w:after="0"/>
            </w:pPr>
            <w:r>
              <w:rPr>
                <w:sz w:val="18"/>
                <w:highlight w:val="yellow"/>
              </w:rPr>
              <w:t>[ACCEPT / MITIGATE / DECLINE]</w:t>
            </w:r>
          </w:p>
        </w:tc>
      </w:tr>
      <w:tr>
        <w:trPr>
          <w:cantSplit/>
        </w:trPr>
        <w:tc>
          <w:tcPr>
            <w:tcW w:type="dxa" w:w="440"/>
          </w:tcPr>
          <w:p>
            <w:pPr>
              <w:spacing w:after="0"/>
            </w:pPr>
            <w:r>
              <w:rPr>
                <w:sz w:val="18"/>
              </w:rPr>
              <w:t>8</w:t>
            </w:r>
          </w:p>
        </w:tc>
        <w:tc>
          <w:tcPr>
            <w:tcW w:type="dxa" w:w="3455"/>
          </w:tcPr>
          <w:p>
            <w:pPr>
              <w:spacing w:after="0"/>
            </w:pPr>
            <w:r>
              <w:rPr>
                <w:sz w:val="18"/>
              </w:rPr>
              <w:t>Local projects belong to the browser profile</w:t>
            </w:r>
          </w:p>
        </w:tc>
        <w:tc>
          <w:tcPr>
            <w:tcW w:type="dxa" w:w="1151"/>
          </w:tcPr>
          <w:p>
            <w:pPr>
              <w:spacing w:after="0"/>
            </w:pPr>
            <w:r>
              <w:rPr>
                <w:sz w:val="18"/>
              </w:rPr>
              <w:t>1</w:t>
            </w:r>
          </w:p>
        </w:tc>
        <w:tc>
          <w:tcPr>
            <w:tcW w:type="dxa" w:w="3353"/>
          </w:tcPr>
          <w:p>
            <w:pPr>
              <w:spacing w:after="0"/>
            </w:pPr>
            <w:r>
              <w:rPr>
                <w:sz w:val="18"/>
              </w:rPr>
              <w:t>Assigned devices or one profile per person</w:t>
            </w:r>
          </w:p>
        </w:tc>
        <w:tc>
          <w:tcPr>
            <w:tcW w:type="dxa" w:w="1969"/>
          </w:tcPr>
          <w:p>
            <w:pPr>
              <w:spacing w:after="0"/>
            </w:pPr>
            <w:r>
              <w:rPr>
                <w:sz w:val="18"/>
                <w:highlight w:val="yellow"/>
              </w:rPr>
              <w:t>[ACCEPT / MITIGATE / DECLINE]</w:t>
            </w:r>
          </w:p>
        </w:tc>
      </w:tr>
      <w:tr>
        <w:trPr>
          <w:cantSplit/>
        </w:trPr>
        <w:tc>
          <w:tcPr>
            <w:tcW w:type="dxa" w:w="440"/>
            <w:shd w:val="clear" w:color="auto" w:fill="f1f5f9"/>
          </w:tcPr>
          <w:p>
            <w:pPr>
              <w:spacing w:after="0"/>
            </w:pPr>
            <w:r>
              <w:rPr>
                <w:sz w:val="18"/>
              </w:rPr>
              <w:t>9</w:t>
            </w:r>
          </w:p>
        </w:tc>
        <w:tc>
          <w:tcPr>
            <w:tcW w:type="dxa" w:w="3455"/>
            <w:shd w:val="clear" w:color="auto" w:fill="f1f5f9"/>
          </w:tcPr>
          <w:p>
            <w:pPr>
              <w:spacing w:after="0"/>
            </w:pPr>
            <w:r>
              <w:rPr>
                <w:sz w:val="18"/>
                <w:highlight w:val="yellow"/>
              </w:rPr>
              <w:t>[OTHER GAP RAISED BY REVIEWER]</w:t>
            </w:r>
          </w:p>
        </w:tc>
        <w:tc>
          <w:tcPr>
            <w:tcW w:type="dxa" w:w="1151"/>
            <w:shd w:val="clear" w:color="auto" w:fill="f1f5f9"/>
          </w:tcPr>
          <w:p>
            <w:pPr>
              <w:spacing w:after="0"/>
            </w:pPr>
            <w:r>
              <w:rPr>
                <w:sz w:val="18"/>
                <w:highlight w:val="yellow"/>
              </w:rPr>
              <w:t>[TIER]</w:t>
            </w:r>
          </w:p>
        </w:tc>
        <w:tc>
          <w:tcPr>
            <w:tcW w:type="dxa" w:w="3353"/>
            <w:shd w:val="clear" w:color="auto" w:fill="f1f5f9"/>
          </w:tcPr>
          <w:p>
            <w:pPr>
              <w:spacing w:after="0"/>
            </w:pPr>
            <w:r>
              <w:rPr>
                <w:sz w:val="18"/>
                <w:highlight w:val="yellow"/>
              </w:rPr>
              <w:t>[CONTROL]</w:t>
            </w:r>
          </w:p>
        </w:tc>
        <w:tc>
          <w:tcPr>
            <w:tcW w:type="dxa" w:w="1969"/>
            <w:shd w:val="clear" w:color="auto" w:fill="f1f5f9"/>
          </w:tcPr>
          <w:p>
            <w:pPr>
              <w:spacing w:after="0"/>
            </w:pPr>
            <w:r>
              <w:rPr>
                <w:sz w:val="18"/>
                <w:highlight w:val="yellow"/>
              </w:rPr>
              <w:t>[ACCEPT / MITIGATE / DECLINE]</w:t>
            </w:r>
          </w:p>
        </w:tc>
      </w:tr>
    </w:tbl>
    <w:p>
      <w:pPr>
        <w:spacing w:after="40"/>
      </w:pPr>
    </w:p>
    <w:p>
      <w:pPr>
        <w:pStyle w:val="Heading2"/>
      </w:pPr>
      <w:r>
        <w:rPr/>
        <w:t>15. Conditions of approval</w:t>
      </w:r>
    </w:p>
    <w:p>
      <w:r>
        <w:rPr>
          <w:highlight w:val="yellow"/>
        </w:rPr>
        <w:t>[CONDITIONS]</w:t>
      </w:r>
      <w:r>
        <w:rPr/>
        <w:t xml:space="preserve">. For example: apps limited to </w:t>
      </w:r>
      <w:r>
        <w:rPr>
          <w:highlight w:val="yellow"/>
        </w:rPr>
        <w:t>[APPS REQUESTED]</w:t>
      </w:r>
      <w:r>
        <w:rPr/>
        <w:t xml:space="preserve">; tier </w:t>
      </w:r>
      <w:r>
        <w:rPr>
          <w:highlight w:val="yellow"/>
        </w:rPr>
        <w:t>[TIERS REQUESTED]</w:t>
      </w:r>
      <w:r>
        <w:rPr/>
        <w:t xml:space="preserve"> only; data classified </w:t>
      </w:r>
      <w:r>
        <w:rPr>
          <w:highlight w:val="yellow"/>
        </w:rPr>
        <w:t>[DATA CLASSIFICATION]</w:t>
      </w:r>
      <w:r>
        <w:rPr/>
        <w:t xml:space="preserve"> or lower; work accounts only for tier 2; Connect AI only with </w:t>
      </w:r>
      <w:r>
        <w:rPr>
          <w:highlight w:val="yellow"/>
        </w:rPr>
        <w:t>[AI PLATFORM]</w:t>
      </w:r>
      <w:r>
        <w:rPr/>
        <w:t xml:space="preserve">, Read Mode </w:t>
      </w:r>
      <w:r>
        <w:rPr>
          <w:highlight w:val="yellow"/>
        </w:rPr>
        <w:t>[ALLOWED / NOT ALLOWED]</w:t>
      </w:r>
      <w:r>
        <w:rPr/>
        <w:t xml:space="preserve">; weekly exports; review on </w:t>
      </w:r>
      <w:r>
        <w:rPr>
          <w:highlight w:val="yellow"/>
        </w:rPr>
        <w:t>[REVIEW DATE]</w:t>
      </w:r>
      <w:r>
        <w:rPr/>
        <w:t>.</w:t>
      </w:r>
    </w:p>
    <w:p>
      <w:pPr>
        <w:pStyle w:val="Heading2"/>
      </w:pPr>
      <w:r>
        <w:rPr/>
        <w:t>Reviewer notes</w:t>
      </w:r>
    </w:p>
    <w:p>
      <w:pPr>
        <w:numPr>
          <w:ilvl w:val="0"/>
          <w:numId w:val="9000"/>
        </w:numPr>
        <w:spacing w:after="40"/>
      </w:pPr>
      <w:r>
        <w:rPr>
          <w:b/>
        </w:rPr>
        <w:t>"Open source with no vendor review."</w:t>
      </w:r>
      <w:r>
        <w:rPr/>
        <w:t xml:space="preserve"> No third party has reviewed it, and this profile does not claim otherwise. What exists is public code, versioned and drift-checked access rules, and a written security history. </w:t>
      </w:r>
      <w:r>
        <w:rPr>
          <w:highlight w:val="yellow"/>
        </w:rPr>
        <w:t>[REVIEWING TEAM]</w:t>
      </w:r>
      <w:r>
        <w:rPr/>
        <w:t xml:space="preserve"> can verify claims directly in the source.</w:t>
      </w:r>
    </w:p>
    <w:p>
      <w:pPr>
        <w:numPr>
          <w:ilvl w:val="0"/>
          <w:numId w:val="9000"/>
        </w:numPr>
        <w:spacing w:after="40"/>
      </w:pPr>
      <w:r>
        <w:rPr>
          <w:b/>
        </w:rPr>
        <w:t>"Data leaving the environment."</w:t>
      </w:r>
      <w:r>
        <w:rPr/>
        <w:t xml:space="preserve"> Tier 1 sends no project data anywhere. Tiers 2 and 3 are separate decisions in section 1, so declining them does not block tier 1.</w:t>
      </w:r>
    </w:p>
    <w:p>
      <w:pPr>
        <w:numPr>
          <w:ilvl w:val="0"/>
          <w:numId w:val="9000"/>
        </w:numPr>
        <w:spacing w:after="40"/>
      </w:pPr>
      <w:r>
        <w:rPr>
          <w:b/>
        </w:rPr>
        <w:t>"Audit and logging."</w:t>
      </w:r>
      <w:r>
        <w:rPr/>
        <w:t xml:space="preserve"> There is no customer audit log. If </w:t>
      </w:r>
      <w:r>
        <w:rPr>
          <w:highlight w:val="yellow"/>
        </w:rPr>
        <w:t>[ORGANIZATION]</w:t>
      </w:r>
      <w:r>
        <w:rPr/>
        <w:t xml:space="preserve"> requires one for the proposed data, limit the classification or approve tier 1 only.</w:t>
      </w:r>
    </w:p>
    <w:p>
      <w:pPr>
        <w:numPr>
          <w:ilvl w:val="0"/>
          <w:numId w:val="9000"/>
        </w:numPr>
        <w:spacing w:after="40"/>
      </w:pPr>
      <w:r>
        <w:rPr>
          <w:b/>
        </w:rPr>
        <w:t>"Unfamiliar vendor."</w:t>
      </w:r>
      <w:r>
        <w:rPr/>
        <w:t xml:space="preserve"> A single-operator business with no contract. The pilot conditions in section 15 are designed around that: small, time-boxed, exportable, reversible.</w:t>
      </w:r>
    </w:p>
    <w:p>
      <w:pPr>
        <w:numPr>
          <w:ilvl w:val="0"/>
          <w:numId w:val="9000"/>
        </w:numPr>
        <w:spacing w:after="120"/>
      </w:pPr>
      <w:r>
        <w:rPr>
          <w:b/>
        </w:rPr>
        <w:t>Scope and limits.</w:t>
      </w:r>
      <w:r>
        <w:rPr/>
        <w:t xml:space="preserve"> Facts were checked against each app's source at the versions above and against the current legal documents. Not verified: live security headers for every app, export formats in each running app, deployed logging settings, and the providers' current certifications.</w:t>
      </w:r>
    </w:p>
    <w:p>
      <w:pPr>
        <w:pStyle w:val="Heading2"/>
      </w:pPr>
      <w:r>
        <w:rPr/>
        <w:t>Attestation (for the organization to complete)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738"/>
        <w:gridCol w:w="1252"/>
        <w:gridCol w:w="3044"/>
        <w:gridCol w:w="2140"/>
        <w:gridCol w:w="1194"/>
      </w:tblGrid>
      <w:tr>
        <w:trPr>
          <w:cantSplit/>
          <w:tblHeader w:val="true"/>
        </w:trPr>
        <w:tc>
          <w:tcPr>
            <w:tcW w:type="dxa" w:w="2738"/>
            <w:shd w:val="clear" w:color="auto" w:fill="1d4ed8"/>
          </w:tcPr>
          <w:p>
            <w:pPr>
              <w:spacing w:after="0"/>
            </w:pPr>
            <w:r>
              <w:rPr>
                <w:b/>
                <w:color w:val="FFFFFF"/>
                <w:sz w:val="18"/>
              </w:rPr>
              <w:t>Role</w:t>
            </w:r>
          </w:p>
        </w:tc>
        <w:tc>
          <w:tcPr>
            <w:tcW w:type="dxa" w:w="1252"/>
            <w:shd w:val="clear" w:color="auto" w:fill="1d4ed8"/>
          </w:tcPr>
          <w:p>
            <w:pPr>
              <w:spacing w:after="0"/>
            </w:pPr>
            <w:r>
              <w:rPr>
                <w:b/>
                <w:color w:val="FFFFFF"/>
                <w:sz w:val="18"/>
              </w:rPr>
              <w:t>Name</w:t>
            </w:r>
          </w:p>
        </w:tc>
        <w:tc>
          <w:tcPr>
            <w:tcW w:type="dxa" w:w="3044"/>
            <w:shd w:val="clear" w:color="auto" w:fill="1d4ed8"/>
          </w:tcPr>
          <w:p>
            <w:pPr>
              <w:spacing w:after="0"/>
            </w:pPr>
            <w:r>
              <w:rPr>
                <w:b/>
                <w:color w:val="FFFFFF"/>
                <w:sz w:val="18"/>
              </w:rPr>
              <w:t>Decision (tier 1 / 2 / 3)</w:t>
            </w:r>
          </w:p>
        </w:tc>
        <w:tc>
          <w:tcPr>
            <w:tcW w:type="dxa" w:w="2140"/>
            <w:shd w:val="clear" w:color="auto" w:fill="1d4ed8"/>
          </w:tcPr>
          <w:p>
            <w:pPr>
              <w:spacing w:after="0"/>
            </w:pPr>
            <w:r>
              <w:rPr>
                <w:b/>
                <w:color w:val="FFFFFF"/>
                <w:sz w:val="18"/>
              </w:rPr>
              <w:t>Conditions</w:t>
            </w:r>
          </w:p>
        </w:tc>
        <w:tc>
          <w:tcPr>
            <w:tcW w:type="dxa" w:w="1194"/>
            <w:shd w:val="clear" w:color="auto" w:fill="1d4ed8"/>
          </w:tcPr>
          <w:p>
            <w:pPr>
              <w:spacing w:after="0"/>
            </w:pPr>
            <w:r>
              <w:rPr>
                <w:b/>
                <w:color w:val="FFFFFF"/>
                <w:sz w:val="18"/>
              </w:rPr>
              <w:t>Date</w:t>
            </w:r>
          </w:p>
        </w:tc>
      </w:tr>
      <w:tr>
        <w:trPr>
          <w:cantSplit/>
        </w:trPr>
        <w:tc>
          <w:tcPr>
            <w:tcW w:type="dxa" w:w="2738"/>
          </w:tcPr>
          <w:p>
            <w:pPr>
              <w:spacing w:after="0"/>
            </w:pPr>
            <w:r>
              <w:rPr>
                <w:sz w:val="18"/>
                <w:highlight w:val="yellow"/>
              </w:rPr>
              <w:t>[REVIEWER ROLE]</w:t>
            </w:r>
          </w:p>
        </w:tc>
        <w:tc>
          <w:tcPr>
            <w:tcW w:type="dxa" w:w="1252"/>
          </w:tcPr>
          <w:p>
            <w:pPr>
              <w:spacing w:after="0"/>
            </w:pPr>
            <w:r>
              <w:rPr>
                <w:sz w:val="18"/>
                <w:highlight w:val="yellow"/>
              </w:rPr>
              <w:t>[NAME]</w:t>
            </w:r>
          </w:p>
        </w:tc>
        <w:tc>
          <w:tcPr>
            <w:tcW w:type="dxa" w:w="3044"/>
          </w:tcPr>
          <w:p>
            <w:pPr>
              <w:spacing w:after="0"/>
            </w:pPr>
            <w:r>
              <w:rPr>
                <w:sz w:val="18"/>
                <w:highlight w:val="yellow"/>
              </w:rPr>
              <w:t>[ ]</w:t>
            </w:r>
            <w:r>
              <w:rPr>
                <w:sz w:val="18"/>
              </w:rPr>
              <w:t xml:space="preserve"> / </w:t>
            </w:r>
            <w:r>
              <w:rPr>
                <w:sz w:val="18"/>
                <w:highlight w:val="yellow"/>
              </w:rPr>
              <w:t>[ ]</w:t>
            </w:r>
            <w:r>
              <w:rPr>
                <w:sz w:val="18"/>
              </w:rPr>
              <w:t xml:space="preserve"> / </w:t>
            </w:r>
            <w:r>
              <w:rPr>
                <w:sz w:val="18"/>
                <w:highlight w:val="yellow"/>
              </w:rPr>
              <w:t>[ ]</w:t>
            </w:r>
          </w:p>
        </w:tc>
        <w:tc>
          <w:tcPr>
            <w:tcW w:type="dxa" w:w="2140"/>
          </w:tcPr>
          <w:p>
            <w:pPr>
              <w:spacing w:after="0"/>
            </w:pPr>
            <w:r>
              <w:rPr>
                <w:sz w:val="18"/>
                <w:highlight w:val="yellow"/>
              </w:rPr>
              <w:t>[CONDITIONS]</w:t>
            </w:r>
          </w:p>
        </w:tc>
        <w:tc>
          <w:tcPr>
            <w:tcW w:type="dxa" w:w="1194"/>
          </w:tcPr>
          <w:p>
            <w:pPr>
              <w:spacing w:after="0"/>
            </w:pPr>
            <w:r>
              <w:rPr>
                <w:sz w:val="18"/>
                <w:highlight w:val="yellow"/>
              </w:rPr>
              <w:t>[DATE]</w:t>
            </w:r>
          </w:p>
        </w:tc>
      </w:tr>
      <w:tr>
        <w:trPr>
          <w:cantSplit/>
        </w:trPr>
        <w:tc>
          <w:tcPr>
            <w:tcW w:type="dxa" w:w="2738"/>
            <w:shd w:val="clear" w:color="auto" w:fill="f1f5f9"/>
          </w:tcPr>
          <w:p>
            <w:pPr>
              <w:spacing w:after="0"/>
            </w:pPr>
            <w:r>
              <w:rPr>
                <w:sz w:val="18"/>
                <w:highlight w:val="yellow"/>
              </w:rPr>
              <w:t>[REVIEWER ROLE]</w:t>
            </w:r>
          </w:p>
        </w:tc>
        <w:tc>
          <w:tcPr>
            <w:tcW w:type="dxa" w:w="1252"/>
            <w:shd w:val="clear" w:color="auto" w:fill="f1f5f9"/>
          </w:tcPr>
          <w:p>
            <w:pPr>
              <w:spacing w:after="0"/>
            </w:pPr>
            <w:r>
              <w:rPr>
                <w:sz w:val="18"/>
                <w:highlight w:val="yellow"/>
              </w:rPr>
              <w:t>[NAME]</w:t>
            </w:r>
          </w:p>
        </w:tc>
        <w:tc>
          <w:tcPr>
            <w:tcW w:type="dxa" w:w="3044"/>
            <w:shd w:val="clear" w:color="auto" w:fill="f1f5f9"/>
          </w:tcPr>
          <w:p>
            <w:pPr>
              <w:spacing w:after="0"/>
            </w:pPr>
            <w:r>
              <w:rPr>
                <w:sz w:val="18"/>
                <w:highlight w:val="yellow"/>
              </w:rPr>
              <w:t>[ ]</w:t>
            </w:r>
            <w:r>
              <w:rPr>
                <w:sz w:val="18"/>
              </w:rPr>
              <w:t xml:space="preserve"> / </w:t>
            </w:r>
            <w:r>
              <w:rPr>
                <w:sz w:val="18"/>
                <w:highlight w:val="yellow"/>
              </w:rPr>
              <w:t>[ ]</w:t>
            </w:r>
            <w:r>
              <w:rPr>
                <w:sz w:val="18"/>
              </w:rPr>
              <w:t xml:space="preserve"> / </w:t>
            </w:r>
            <w:r>
              <w:rPr>
                <w:sz w:val="18"/>
                <w:highlight w:val="yellow"/>
              </w:rPr>
              <w:t>[ ]</w:t>
            </w:r>
          </w:p>
        </w:tc>
        <w:tc>
          <w:tcPr>
            <w:tcW w:type="dxa" w:w="2140"/>
            <w:shd w:val="clear" w:color="auto" w:fill="f1f5f9"/>
          </w:tcPr>
          <w:p>
            <w:pPr>
              <w:spacing w:after="0"/>
            </w:pPr>
            <w:r>
              <w:rPr>
                <w:sz w:val="18"/>
                <w:highlight w:val="yellow"/>
              </w:rPr>
              <w:t>[CONDITIONS]</w:t>
            </w:r>
          </w:p>
        </w:tc>
        <w:tc>
          <w:tcPr>
            <w:tcW w:type="dxa" w:w="1194"/>
            <w:shd w:val="clear" w:color="auto" w:fill="f1f5f9"/>
          </w:tcPr>
          <w:p>
            <w:pPr>
              <w:spacing w:after="0"/>
            </w:pPr>
            <w:r>
              <w:rPr>
                <w:sz w:val="18"/>
                <w:highlight w:val="yellow"/>
              </w:rPr>
              <w:t>[DATE]</w:t>
            </w:r>
          </w:p>
        </w:tc>
      </w:tr>
      <w:tr>
        <w:trPr>
          <w:cantSplit/>
        </w:trPr>
        <w:tc>
          <w:tcPr>
            <w:tcW w:type="dxa" w:w="2738"/>
          </w:tcPr>
          <w:p>
            <w:pPr>
              <w:spacing w:after="0"/>
            </w:pPr>
            <w:r>
              <w:rPr>
                <w:sz w:val="18"/>
                <w:highlight w:val="yellow"/>
              </w:rPr>
              <w:t>[APPROVER ROLE]</w:t>
            </w:r>
          </w:p>
        </w:tc>
        <w:tc>
          <w:tcPr>
            <w:tcW w:type="dxa" w:w="1252"/>
          </w:tcPr>
          <w:p>
            <w:pPr>
              <w:spacing w:after="0"/>
            </w:pPr>
            <w:r>
              <w:rPr>
                <w:sz w:val="18"/>
                <w:highlight w:val="yellow"/>
              </w:rPr>
              <w:t>[NAME]</w:t>
            </w:r>
          </w:p>
        </w:tc>
        <w:tc>
          <w:tcPr>
            <w:tcW w:type="dxa" w:w="3044"/>
          </w:tcPr>
          <w:p>
            <w:pPr>
              <w:spacing w:after="0"/>
            </w:pPr>
            <w:r>
              <w:rPr>
                <w:sz w:val="18"/>
                <w:highlight w:val="yellow"/>
              </w:rPr>
              <w:t>[ ]</w:t>
            </w:r>
            <w:r>
              <w:rPr>
                <w:sz w:val="18"/>
              </w:rPr>
              <w:t xml:space="preserve"> / </w:t>
            </w:r>
            <w:r>
              <w:rPr>
                <w:sz w:val="18"/>
                <w:highlight w:val="yellow"/>
              </w:rPr>
              <w:t>[ ]</w:t>
            </w:r>
            <w:r>
              <w:rPr>
                <w:sz w:val="18"/>
              </w:rPr>
              <w:t xml:space="preserve"> / </w:t>
            </w:r>
            <w:r>
              <w:rPr>
                <w:sz w:val="18"/>
                <w:highlight w:val="yellow"/>
              </w:rPr>
              <w:t>[ ]</w:t>
            </w:r>
          </w:p>
        </w:tc>
        <w:tc>
          <w:tcPr>
            <w:tcW w:type="dxa" w:w="2140"/>
          </w:tcPr>
          <w:p>
            <w:pPr>
              <w:spacing w:after="0"/>
            </w:pPr>
            <w:r>
              <w:rPr>
                <w:sz w:val="18"/>
                <w:highlight w:val="yellow"/>
              </w:rPr>
              <w:t>[CONDITIONS]</w:t>
            </w:r>
          </w:p>
        </w:tc>
        <w:tc>
          <w:tcPr>
            <w:tcW w:type="dxa" w:w="1194"/>
          </w:tcPr>
          <w:p>
            <w:pPr>
              <w:spacing w:after="0"/>
            </w:pPr>
            <w:r>
              <w:rPr>
                <w:sz w:val="18"/>
                <w:highlight w:val="yellow"/>
              </w:rPr>
              <w:t>[DATE]</w:t>
            </w:r>
          </w:p>
        </w:tc>
      </w:tr>
    </w:tbl>
    <w:p>
      <w:pPr>
        <w:spacing w:after="40"/>
      </w:pPr>
    </w:p>
    <w:sectPr w:rsidR="00FC693F" w:rsidRPr="0006063C" w:rsidSect="00034616">
      <w:footerReference w:type="default" r:id="rId23"/>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Information Security Profile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landing" TargetMode="External"/><Relationship Id="rId12" Type="http://schemas.openxmlformats.org/officeDocument/2006/relationships/hyperlink" Target="https://spertsuite.com/TOS.pdf" TargetMode="External"/><Relationship Id="rId13" Type="http://schemas.openxmlformats.org/officeDocument/2006/relationships/hyperlink" Target="https://spertsuite.com/PRIVACY.pdf" TargetMode="External"/><Relationship Id="rId14" Type="http://schemas.openxmlformats.org/officeDocument/2006/relationships/hyperlink" Target="https://spertsuite.com/ai-privacy" TargetMode="External"/><Relationship Id="rId15" Type="http://schemas.openxmlformats.org/officeDocument/2006/relationships/hyperlink" Target="https://spertsuite.com/ai-consent-notice" TargetMode="External"/><Relationship Id="rId16" Type="http://schemas.openxmlformats.org/officeDocument/2006/relationships/hyperlink" Target="mailto:security@spertsuite.com" TargetMode="External"/><Relationship Id="rId17" Type="http://schemas.openxmlformats.org/officeDocument/2006/relationships/hyperlink" Target="mailto:privacy@spertsuite.com" TargetMode="External"/><Relationship Id="rId18" Type="http://schemas.openxmlformats.org/officeDocument/2006/relationships/hyperlink" Target="mailto:contact@spertsuite.com" TargetMode="External"/><Relationship Id="rId19" Type="http://schemas.openxmlformats.org/officeDocument/2006/relationships/hyperlink" Target="https://spertsuite.com/security" TargetMode="External"/><Relationship Id="rId20" Type="http://schemas.openxmlformats.org/officeDocument/2006/relationships/hyperlink" Target="https://spertsuite.com/.well-known/security.txt" TargetMode="External"/><Relationship Id="rId21" Type="http://schemas.openxmlformats.org/officeDocument/2006/relationships/hyperlink" Target="https://scheduler.spertsuite.com/.well-known/security.txt" TargetMode="External"/><Relationship Id="rId22" Type="http://schemas.openxmlformats.org/officeDocument/2006/relationships/hyperlink" Target="https://spertsuite.com" TargetMode="Externa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Profile: SPERT® Suite at [ORGANIZATION]</dc:title>
  <dc:subject>Fill-in template: controls, gaps, approval scope and attestation, for information security and privacy reviewers</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