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sz w:val="36"/>
        </w:rPr>
        <w:drawing>
          <wp:inline xmlns:a="http://schemas.openxmlformats.org/drawingml/2006/main" xmlns:pic="http://schemas.openxmlformats.org/drawingml/2006/picture">
            <wp:extent cx="254000" cy="25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z w:val="36"/>
        </w:rPr>
        <w:t xml:space="preserve">  </w:t>
      </w:r>
      <w:r>
        <w:rPr>
          <w:sz w:val="36"/>
        </w:rPr>
        <w:t>Reviewer FAQ: SPERT</w:t>
      </w:r>
      <w:r>
        <w:rPr>
          <w:sz w:val="36"/>
          <w:vertAlign w:val="superscript"/>
        </w:rPr>
        <w:t>®</w:t>
      </w:r>
      <w:r>
        <w:rPr>
          <w:sz w:val="36"/>
        </w:rPr>
        <w:t xml:space="preserve"> Suite at </w:t>
      </w:r>
      <w:r>
        <w:rPr>
          <w:sz w:val="36"/>
          <w:highlight w:val="yellow"/>
        </w:rPr>
        <w:t>[ORGANIZATION]</w:t>
      </w:r>
    </w:p>
    <w:p>
      <w:pPr>
        <w:spacing w:after="20"/>
      </w:pPr>
      <w:r>
        <w:rPr>
          <w:b/>
          <w:color w:val="1D4ED8"/>
          <w:sz w:val="18"/>
        </w:rPr>
        <w:t xml:space="preserve">Template  ·  </w:t>
      </w:r>
      <w:r>
        <w:rPr>
          <w:sz w:val="18"/>
        </w:rPr>
        <w:t xml:space="preserve">Fill-in template: short, sourced answers to the questions each reviewer asks · </w:t>
      </w:r>
      <w:hyperlink r:id="rId10">
        <w:r>
          <w:rPr>
            <w:color w:val="1d4ed8"/>
            <w:sz w:val="18"/>
            <w:u w:val="single"/>
          </w:rPr>
          <w:t xml:space="preserve">spertsuite.com/approval-kit</w:t>
        </w:r>
      </w:hyperlink>
    </w:p>
    <w:p>
      <w:pPr>
        <w:pBdr>
          <w:bottom w:val="single" w:sz="12" w:space="4" w:color="1d4ed8"/>
        </w:pBdr>
      </w:pPr>
      <w:r>
        <w:rPr>
          <w:color w:val="475569"/>
          <w:sz w:val="16"/>
        </w:rPr>
        <w:t>SPERT</w:t>
      </w:r>
      <w:r>
        <w:rPr>
          <w:color w:val="475569"/>
          <w:sz w:val="16"/>
          <w:vertAlign w:val="superscript"/>
        </w:rPr>
        <w:t>®</w:t>
      </w:r>
      <w:r>
        <w:rPr>
          <w:color w:val="475569"/>
          <w:sz w:val="16"/>
        </w:rPr>
        <w:t xml:space="preserve"> Suite Approval Kit v1.0.0 (Release) · Content reviewed 2026-10-25 · Built 2026-10-26</w:t>
      </w:r>
    </w:p>
    <w:p>
      <w:r>
        <w:rPr>
          <w:b/>
        </w:rPr>
        <w:t>For:</w:t>
      </w:r>
      <w:r>
        <w:rPr/>
        <w:t xml:space="preserve"> </w:t>
      </w:r>
      <w:r>
        <w:rPr>
          <w:highlight w:val="yellow"/>
        </w:rPr>
        <w:t>[REVIEWING TEAM]</w:t>
      </w:r>
      <w:r>
        <w:rPr/>
        <w:t xml:space="preserve"> at </w:t>
      </w:r>
      <w:r>
        <w:rPr>
          <w:highlight w:val="yellow"/>
        </w:rPr>
        <w:t>[ORGANIZATION]</w:t>
      </w:r>
      <w:r>
        <w:rPr/>
        <w:t xml:space="preserve"> · </w:t>
      </w:r>
      <w:r>
        <w:rPr>
          <w:b/>
        </w:rPr>
        <w:t>Prepared by:</w:t>
      </w:r>
      <w:r>
        <w:rPr/>
        <w:t xml:space="preserve"> </w:t>
      </w:r>
      <w:r>
        <w:rPr>
          <w:highlight w:val="yellow"/>
        </w:rPr>
        <w:t>[PROJECT MANAGER NAME]</w:t>
      </w:r>
      <w:r>
        <w:rPr/>
        <w:t xml:space="preserve"> · </w:t>
      </w:r>
      <w:r>
        <w:rPr>
          <w:b/>
        </w:rPr>
        <w:t>Request reference:</w:t>
      </w:r>
      <w:r>
        <w:rPr/>
        <w:t xml:space="preserve"> </w:t>
      </w:r>
      <w:r>
        <w:rPr>
          <w:highlight w:val="yellow"/>
        </w:rPr>
        <w:t>[REQUEST ID]</w:t>
      </w:r>
      <w:r>
        <w:br/>
      </w:r>
      <w:r>
        <w:rPr>
          <w:b/>
        </w:rPr>
        <w:t>Reviewed against:</w:t>
      </w:r>
      <w:r>
        <w:rPr/>
        <w:t xml:space="preserve"> SPERT</w:t>
      </w:r>
      <w:r>
        <w:rPr>
          <w:vertAlign w:val="superscript"/>
        </w:rPr>
        <w:t>®</w:t>
      </w:r>
      <w:r>
        <w:rPr/>
        <w:t xml:space="preserve"> Scheduler 0.79.26, SPERT</w:t>
      </w:r>
      <w:r>
        <w:rPr>
          <w:vertAlign w:val="superscript"/>
        </w:rPr>
        <w:t>®</w:t>
      </w:r>
      <w:r>
        <w:rPr/>
        <w:t xml:space="preserve"> Story Map 0.53.14, SPERT</w:t>
      </w:r>
      <w:r>
        <w:rPr>
          <w:vertAlign w:val="superscript"/>
        </w:rPr>
        <w:t>®</w:t>
      </w:r>
      <w:r>
        <w:rPr/>
        <w:t xml:space="preserve"> Forecaster 0.47.4, SPERT</w:t>
      </w:r>
      <w:r>
        <w:rPr>
          <w:vertAlign w:val="superscript"/>
        </w:rPr>
        <w:t>®</w:t>
      </w:r>
      <w:r>
        <w:rPr/>
        <w:t xml:space="preserve"> CFD 0.15.23, GanttApp™ 0.29.8, MyScrumBudget™ 0.44.4; </w:t>
      </w:r>
      <w:hyperlink r:id="rId11">
        <w:r>
          <w:rPr>
            <w:color w:val="1d4ed8"/>
            <w:u w:val="single"/>
          </w:rPr>
          <w:t xml:space="preserve">spert-landing</w:t>
        </w:r>
      </w:hyperlink>
      <w:r>
        <w:rPr/>
        <w:t xml:space="preserve"> 2.7.2 (Connect AI server 1.14.1); </w:t>
      </w:r>
      <w:hyperlink r:id="rId12">
        <w:r>
          <w:rPr>
            <w:color w:val="1d4ed8"/>
            <w:u w:val="single"/>
          </w:rPr>
          <w:t xml:space="preserve">Terms of Service</w:t>
        </w:r>
      </w:hyperlink>
      <w:r>
        <w:rPr/>
        <w:t xml:space="preserve"> v1.4 and </w:t>
      </w:r>
      <w:hyperlink r:id="rId13">
        <w:r>
          <w:rPr>
            <w:color w:val="1d4ed8"/>
            <w:u w:val="single"/>
          </w:rPr>
          <w:t xml:space="preserve">Privacy Policy</w:t>
        </w:r>
      </w:hyperlink>
      <w:r>
        <w:rPr/>
        <w:t xml:space="preserve"> v1.4 (effective 2026-10-26); </w:t>
      </w:r>
      <w:hyperlink r:id="rId14">
        <w:r>
          <w:rPr>
            <w:color w:val="1d4ed8"/>
            <w:u w:val="single"/>
          </w:rPr>
          <w:t xml:space="preserve">AI Privacy Notice</w:t>
        </w:r>
      </w:hyperlink>
      <w:r>
        <w:rPr/>
        <w:t xml:space="preserve"> v2.3 (effective 2026-10-26); </w:t>
      </w:r>
      <w:hyperlink r:id="rId15">
        <w:r>
          <w:rPr>
            <w:color w:val="1d4ed8"/>
            <w:u w:val="single"/>
          </w:rPr>
          <w:t xml:space="preserve">AI Connectivity Consent Notice</w:t>
        </w:r>
      </w:hyperlink>
      <w:r>
        <w:rPr/>
        <w:t xml:space="preserve"> v2.2 (effective 2026-10-26). </w:t>
      </w:r>
      <w:r>
        <w:rPr>
          <w:b/>
        </w:rPr>
        <w:t>Review date:</w:t>
      </w:r>
      <w:r>
        <w:rPr/>
        <w:t xml:space="preserve"> 2026-10-25.</w:t>
      </w:r>
    </w:p>
    <w:p>
      <w:r>
        <w:rPr>
          <w:i/>
        </w:rPr>
        <w:t>This FAQ supports an approval process. It is not legal, compliance or security advice, and it makes no commitments on the operator's behalf beyond those in the published legal documents.</w:t>
      </w:r>
    </w:p>
    <w:tbl>
      <w:tblPr>
        <w:tblW w:type="auto" w:w="0"/>
        <w:tblBorders>
          <w:top w:val="single" w:sz="8" w:color="fbbf24"/>
          <w:left w:val="single" w:sz="8" w:color="fbbf24"/>
          <w:bottom w:val="single" w:sz="8" w:color="fbbf24"/>
          <w:right w:val="single" w:sz="8" w:color="fbbf24"/>
          <w:insideH w:val="single" w:sz="8" w:color="fbbf24"/>
          <w:insideV w:val="nil"/>
        </w:tblBorders>
        <w:tblLayout w:type="fixed"/>
        <w:tblCellMar>
          <w:top w:w="100" w:type="dxa"/>
          <w:left w:w="140" w:type="dxa"/>
          <w:bottom w:w="100" w:type="dxa"/>
          <w:right w:w="140" w:type="dxa"/>
        </w:tblCellMar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val="clear" w:color="auto" w:fill="fef3c7"/>
          </w:tcPr>
          <w:p>
            <w:r>
              <w:rPr>
                <w:b/>
                <w:sz w:val="19"/>
              </w:rPr>
              <w:t>For the project manager.</w:t>
            </w:r>
            <w:r>
              <w:rPr>
                <w:sz w:val="19"/>
              </w:rPr>
              <w:t xml:space="preserve"> Delete questions about tiers you are not requesting, and add the questions your reviewers actually ask at the end. Keep the answers' sources: reviewers use them. Delete this box before you send it.</w:t>
            </w:r>
          </w:p>
        </w:tc>
      </w:tr>
    </w:tbl>
    <w:p>
      <w:pPr>
        <w:spacing w:after="40"/>
      </w:pPr>
    </w:p>
    <w:p>
      <w:pPr>
        <w:pStyle w:val="Heading2"/>
      </w:pPr>
      <w:r>
        <w:rPr/>
        <w:t>General</w:t>
      </w:r>
    </w:p>
    <w:p>
      <w:pPr>
        <w:keepNext/>
        <w:spacing w:before="120" w:after="40"/>
      </w:pPr>
      <w:r>
        <w:rPr>
          <w:b/>
        </w:rPr>
        <w:t>What are we being asked to approve?</w:t>
      </w:r>
    </w:p>
    <w:p>
      <w:pPr>
        <w:keepNext/>
      </w:pPr>
      <w:r>
        <w:rPr>
          <w:highlight w:val="yellow"/>
        </w:rPr>
        <w:t>[APPS REQUESTED]</w:t>
      </w:r>
      <w:r>
        <w:rPr/>
        <w:t xml:space="preserve">, used by </w:t>
      </w:r>
      <w:r>
        <w:rPr>
          <w:highlight w:val="yellow"/>
        </w:rPr>
        <w:t>[NUMBER]</w:t>
      </w:r>
      <w:r>
        <w:rPr/>
        <w:t xml:space="preserve"> people in </w:t>
      </w:r>
      <w:r>
        <w:rPr>
          <w:highlight w:val="yellow"/>
        </w:rPr>
        <w:t>[TEAM]</w:t>
      </w:r>
      <w:r>
        <w:rPr/>
        <w:t xml:space="preserve"> for </w:t>
      </w:r>
      <w:r>
        <w:rPr>
          <w:highlight w:val="yellow"/>
        </w:rPr>
        <w:t>[PILOT LENGTH]</w:t>
      </w:r>
      <w:r>
        <w:rPr/>
        <w:t xml:space="preserve">, in tier </w:t>
      </w:r>
      <w:r>
        <w:rPr>
          <w:highlight w:val="yellow"/>
        </w:rPr>
        <w:t>[TIERS REQUESTED]</w:t>
      </w:r>
      <w:r>
        <w:rPr/>
        <w:t>. Tier 1 is local-only use; tier 2 is cloud storage and sharing; tier 3 is Connect AI, which can be approved with or without tier 2. Each can be approved or declined separately.</w:t>
      </w:r>
    </w:p>
    <w:p>
      <w:pPr>
        <w:keepNext/>
        <w:spacing w:before="120" w:after="40"/>
      </w:pPr>
      <w:r>
        <w:rPr>
          <w:b/>
        </w:rPr>
        <w:t>What is SPERT</w:t>
      </w:r>
      <w:r>
        <w:rPr>
          <w:b/>
          <w:vertAlign w:val="superscript"/>
        </w:rPr>
        <w:t>®</w:t>
      </w:r>
      <w:r>
        <w:rPr>
          <w:b/>
        </w:rPr>
        <w:t xml:space="preserve"> Suite?</w:t>
      </w:r>
    </w:p>
    <w:p>
      <w:pPr>
        <w:keepNext/>
      </w:pPr>
      <w:r>
        <w:rPr/>
        <w:t>Six free, browser-based planning apps: SPERT</w:t>
      </w:r>
      <w:r>
        <w:rPr>
          <w:vertAlign w:val="superscript"/>
        </w:rPr>
        <w:t>®</w:t>
      </w:r>
      <w:r>
        <w:rPr/>
        <w:t xml:space="preserve"> Scheduler, SPERT</w:t>
      </w:r>
      <w:r>
        <w:rPr>
          <w:vertAlign w:val="superscript"/>
        </w:rPr>
        <w:t>®</w:t>
      </w:r>
      <w:r>
        <w:rPr/>
        <w:t xml:space="preserve"> Story Map, SPERT</w:t>
      </w:r>
      <w:r>
        <w:rPr>
          <w:vertAlign w:val="superscript"/>
        </w:rPr>
        <w:t>®</w:t>
      </w:r>
      <w:r>
        <w:rPr/>
        <w:t xml:space="preserve"> Forecaster, SPERT</w:t>
      </w:r>
      <w:r>
        <w:rPr>
          <w:vertAlign w:val="superscript"/>
        </w:rPr>
        <w:t>®</w:t>
      </w:r>
      <w:r>
        <w:rPr/>
        <w:t xml:space="preserve"> CFD, GanttApp™ and MyScrumBudget™. Each runs in the user's browser and, by default, saves projects in that browser's own storage. SPERT</w:t>
      </w:r>
      <w:r>
        <w:rPr>
          <w:vertAlign w:val="superscript"/>
        </w:rPr>
        <w:t>®</w:t>
      </w:r>
      <w:r>
        <w:rPr/>
        <w:t xml:space="preserve"> Scheduler and SPERT</w:t>
      </w:r>
      <w:r>
        <w:rPr>
          <w:vertAlign w:val="superscript"/>
        </w:rPr>
        <w:t>®</w:t>
      </w:r>
      <w:r>
        <w:rPr/>
        <w:t xml:space="preserve"> Forecaster use the Statistical PERT</w:t>
      </w:r>
      <w:r>
        <w:rPr>
          <w:vertAlign w:val="superscript"/>
        </w:rPr>
        <w:t>®</w:t>
      </w:r>
      <w:r>
        <w:rPr/>
        <w:t xml:space="preserve"> estimation technique.</w:t>
      </w:r>
    </w:p>
    <w:p>
      <w:pPr>
        <w:keepNext/>
        <w:spacing w:before="120" w:after="40"/>
      </w:pPr>
      <w:r>
        <w:rPr>
          <w:b/>
        </w:rPr>
        <w:t>Who provides it?</w:t>
      </w:r>
    </w:p>
    <w:p>
      <w:pPr>
        <w:keepNext/>
      </w:pPr>
      <w:r>
        <w:rPr/>
        <w:t>famousdavis, LLC, a Florida limited liability company, operating since 2026-09-12 (</w:t>
      </w:r>
      <w:hyperlink r:id="rId12">
        <w:r>
          <w:rPr>
            <w:color w:val="1d4ed8"/>
            <w:u w:val="single"/>
          </w:rPr>
          <w:t xml:space="preserve">ToS</w:t>
        </w:r>
      </w:hyperlink>
      <w:r>
        <w:rPr/>
        <w:t xml:space="preserve"> §1.1). It is a single-operator business. The software copyright is held by William W. Davis and licensed to the operator (</w:t>
      </w:r>
      <w:hyperlink r:id="rId12">
        <w:r>
          <w:rPr>
            <w:color w:val="1d4ed8"/>
            <w:u w:val="single"/>
          </w:rPr>
          <w:t xml:space="preserve">ToS</w:t>
        </w:r>
      </w:hyperlink>
      <w:r>
        <w:rPr/>
        <w:t xml:space="preserve"> §3).</w:t>
      </w:r>
    </w:p>
    <w:p>
      <w:pPr>
        <w:keepNext/>
        <w:spacing w:before="120" w:after="40"/>
      </w:pPr>
      <w:r>
        <w:rPr>
          <w:b/>
        </w:rPr>
        <w:t xml:space="preserve">Does it replace </w:t>
      </w:r>
      <w:r>
        <w:rPr>
          <w:b/>
          <w:highlight w:val="yellow"/>
        </w:rPr>
        <w:t>[EXISTING TOOL]</w:t>
      </w:r>
      <w:r>
        <w:rPr>
          <w:b/>
        </w:rPr>
        <w:t>?</w:t>
      </w:r>
    </w:p>
    <w:p>
      <w:pPr>
        <w:keepNext/>
      </w:pPr>
      <w:r>
        <w:rPr/>
        <w:t xml:space="preserve">No. It is proposed as a complement for </w:t>
      </w:r>
      <w:r>
        <w:rPr>
          <w:highlight w:val="yellow"/>
        </w:rPr>
        <w:t>[THE SPECIFIC PLANNING QUESTION]</w:t>
      </w:r>
      <w:r>
        <w:rPr/>
        <w:t xml:space="preserve">. </w:t>
      </w:r>
      <w:r>
        <w:rPr>
          <w:highlight w:val="yellow"/>
        </w:rPr>
        <w:t>[EXISTING TOOL]</w:t>
      </w:r>
      <w:r>
        <w:rPr/>
        <w:t xml:space="preserve"> remains the system of record. See the </w:t>
      </w:r>
      <w:r>
        <w:rPr>
          <w:i/>
        </w:rPr>
        <w:t>Value Brief</w:t>
      </w:r>
      <w:r>
        <w:rPr/>
        <w:t>.</w:t>
      </w:r>
    </w:p>
    <w:p>
      <w:pPr>
        <w:keepNext/>
        <w:spacing w:before="120" w:after="40"/>
      </w:pPr>
      <w:r>
        <w:rPr>
          <w:b/>
        </w:rPr>
        <w:t>What does it cost?</w:t>
      </w:r>
    </w:p>
    <w:p>
      <w:pPr>
        <w:keepNext/>
      </w:pPr>
      <w:r>
        <w:rPr/>
        <w:t>Nothing to license: "Core application functionality is provided at no charge" (</w:t>
      </w:r>
      <w:hyperlink r:id="rId12">
        <w:r>
          <w:rPr>
            <w:color w:val="1d4ed8"/>
            <w:u w:val="single"/>
          </w:rPr>
          <w:t xml:space="preserve">ToS</w:t>
        </w:r>
      </w:hyperlink>
      <w:r>
        <w:rPr/>
        <w:t xml:space="preserve"> §2). No paid tier exists today. The real costs are review effort and learning time.</w:t>
      </w:r>
    </w:p>
    <w:p>
      <w:pPr>
        <w:pStyle w:val="Heading2"/>
      </w:pPr>
      <w:r>
        <w:rPr/>
        <w:t>Information security</w:t>
      </w:r>
    </w:p>
    <w:p>
      <w:pPr>
        <w:keepNext/>
        <w:spacing w:before="120" w:after="40"/>
      </w:pPr>
      <w:r>
        <w:rPr>
          <w:b/>
        </w:rPr>
        <w:t>Is anything installed?</w:t>
      </w:r>
    </w:p>
    <w:p>
      <w:pPr>
        <w:keepNext/>
      </w:pPr>
      <w:r>
        <w:rPr/>
        <w:t>No. The apps are web pages. There is no agent, plug-in or desktop software.</w:t>
      </w:r>
    </w:p>
    <w:p>
      <w:pPr>
        <w:keepNext/>
        <w:spacing w:before="120" w:after="40"/>
      </w:pPr>
      <w:r>
        <w:rPr>
          <w:b/>
        </w:rPr>
        <w:t>Where does our data go in tier 1?</w:t>
      </w:r>
    </w:p>
    <w:p>
      <w:pPr>
        <w:keepNext/>
      </w:pPr>
      <w:r>
        <w:rPr/>
        <w:t>Nowhere. "Core App functionality that does not use Cloud Storage keeps your project data entirely within your local browser; the Apps do not send project data to the Operator or any third party" (</w:t>
      </w:r>
      <w:hyperlink r:id="rId13">
        <w:r>
          <w:rPr>
            <w:color w:val="1d4ed8"/>
            <w:u w:val="single"/>
          </w:rPr>
          <w:t xml:space="preserve">Privacy</w:t>
        </w:r>
      </w:hyperlink>
      <w:r>
        <w:rPr/>
        <w:t xml:space="preserve"> §1). The web host, Vercel, receives standard request data such as IP address and browser type. SPERT</w:t>
      </w:r>
      <w:r>
        <w:rPr>
          <w:vertAlign w:val="superscript"/>
        </w:rPr>
        <w:t>®</w:t>
      </w:r>
      <w:r>
        <w:rPr/>
        <w:t xml:space="preserve"> Scheduler's Calendar page requests a public holiday service's country list when opened, and sends a country code and year when the user loads holidays (</w:t>
      </w:r>
      <w:hyperlink r:id="rId13">
        <w:r>
          <w:rPr>
            <w:color w:val="1d4ed8"/>
            <w:u w:val="single"/>
          </w:rPr>
          <w:t xml:space="preserve">Privacy</w:t>
        </w:r>
      </w:hyperlink>
      <w:r>
        <w:rPr/>
        <w:t xml:space="preserve"> §1).</w:t>
      </w:r>
    </w:p>
    <w:p>
      <w:pPr>
        <w:keepNext/>
        <w:spacing w:before="120" w:after="40"/>
      </w:pPr>
      <w:r>
        <w:rPr>
          <w:b/>
        </w:rPr>
        <w:t>How do users sign in for tier 2?</w:t>
      </w:r>
    </w:p>
    <w:p>
      <w:pPr>
        <w:keepNext/>
      </w:pPr>
      <w:r>
        <w:rPr/>
        <w:t>With Google or Microsoft only, including Microsoft Entra ID work accounts (</w:t>
      </w:r>
      <w:hyperlink r:id="rId13">
        <w:r>
          <w:rPr>
            <w:color w:val="1d4ed8"/>
            <w:u w:val="single"/>
          </w:rPr>
          <w:t xml:space="preserve">Privacy</w:t>
        </w:r>
      </w:hyperlink>
      <w:r>
        <w:rPr/>
        <w:t xml:space="preserve"> §2.1). There are no SPERT</w:t>
      </w:r>
      <w:r>
        <w:rPr>
          <w:vertAlign w:val="superscript"/>
        </w:rPr>
        <w:t>®</w:t>
      </w:r>
      <w:r>
        <w:rPr/>
        <w:t xml:space="preserve"> passwords. </w:t>
      </w:r>
      <w:r>
        <w:rPr>
          <w:highlight w:val="yellow"/>
        </w:rPr>
        <w:t>[ORGANIZATION]</w:t>
      </w:r>
      <w:r>
        <w:rPr/>
        <w:t>'s MFA and conditional access apply to work accounts. There is no SSO enforcement, SCIM or admin console. The SPERT</w:t>
      </w:r>
      <w:r>
        <w:rPr>
          <w:vertAlign w:val="superscript"/>
        </w:rPr>
        <w:t>®</w:t>
      </w:r>
      <w:r>
        <w:rPr/>
        <w:t xml:space="preserve"> Suite sign-in app is not yet a Microsoft "verified publisher": where Entra ID lets users consent only to verified publishers' apps, staff see "Need admin approval" and an administrator must grant consent first (operator's statement, 2026-10-25).</w:t>
      </w:r>
    </w:p>
    <w:p>
      <w:pPr>
        <w:keepNext/>
        <w:spacing w:before="120" w:after="40"/>
      </w:pPr>
      <w:r>
        <w:rPr>
          <w:b/>
        </w:rPr>
        <w:t>Can we stop staff turning on cloud storage or Connect AI?</w:t>
      </w:r>
    </w:p>
    <w:p>
      <w:pPr>
        <w:keepNext/>
      </w:pPr>
      <w:r>
        <w:rPr/>
        <w:t xml:space="preserve">Not inside the apps: there is no administrator switch, so approving tier 1 only is a policy decision. Technical options exist, but all are untested: blocking </w:t>
      </w:r>
      <w:r>
        <w:rPr>
          <w:rFonts w:ascii="Consolas" w:hAnsi="Consolas"/>
          <w:sz w:val="18"/>
        </w:rPr>
        <w:t>spert-suite.firebaseapp.com</w:t>
      </w:r>
      <w:r>
        <w:rPr/>
        <w:t xml:space="preserve"> may stop cloud sign-in, and blocking the pairing function may stop Connect AI (see "Can we turn Connect AI off for everyone?" below). </w:t>
      </w:r>
      <w:r>
        <w:rPr>
          <w:highlight w:val="yellow"/>
        </w:rPr>
        <w:t>[ORGANIZATION]</w:t>
      </w:r>
      <w:r>
        <w:rPr/>
        <w:t>'s IT team should test any block it relies on.</w:t>
      </w:r>
    </w:p>
    <w:p>
      <w:pPr>
        <w:keepNext/>
        <w:spacing w:before="120" w:after="40"/>
      </w:pPr>
      <w:r>
        <w:rPr>
          <w:b/>
        </w:rPr>
        <w:t>How is cloud data protected?</w:t>
      </w:r>
    </w:p>
    <w:p>
      <w:pPr>
        <w:keepNext/>
      </w:pPr>
      <w:r>
        <w:rPr/>
        <w:t>HTTPS in transit; Google Cloud's infrastructure controls at rest (</w:t>
      </w:r>
      <w:hyperlink r:id="rId13">
        <w:r>
          <w:rPr>
            <w:color w:val="1d4ed8"/>
            <w:u w:val="single"/>
          </w:rPr>
          <w:t xml:space="preserve">Privacy</w:t>
        </w:r>
      </w:hyperlink>
      <w:r>
        <w:rPr/>
        <w:t xml:space="preserve"> §5); Firestore security rules that limit each project to its members by role, kept in source control, deployed automatically and checked for drift every six hours. No customer-managed keys.</w:t>
      </w:r>
    </w:p>
    <w:p>
      <w:pPr>
        <w:keepNext/>
        <w:spacing w:before="120" w:after="40"/>
      </w:pPr>
      <w:r>
        <w:rPr>
          <w:b/>
        </w:rPr>
        <w:t>Has it been independently audited or penetration tested?</w:t>
      </w:r>
    </w:p>
    <w:p>
      <w:pPr>
        <w:keepNext/>
      </w:pPr>
      <w:r>
        <w:rPr/>
        <w:t xml:space="preserve">No. There is no SOC 2, ISO 27001 or third-party penetration test, and the operator has not completed a formal questionnaire. Security reviews are the developer's own. The source code is public, so </w:t>
      </w:r>
      <w:r>
        <w:rPr>
          <w:highlight w:val="yellow"/>
        </w:rPr>
        <w:t>[REVIEWING TEAM]</w:t>
      </w:r>
      <w:r>
        <w:rPr/>
        <w:t xml:space="preserve"> can review it.</w:t>
      </w:r>
    </w:p>
    <w:p>
      <w:pPr>
        <w:keepNext/>
        <w:spacing w:before="120" w:after="40"/>
      </w:pPr>
      <w:r>
        <w:rPr>
          <w:b/>
        </w:rPr>
        <w:t>Can we scan or test the live apps?</w:t>
      </w:r>
    </w:p>
    <w:p>
      <w:pPr>
        <w:keepNext/>
      </w:pPr>
      <w:r>
        <w:rPr/>
        <w:t xml:space="preserve">Not without raising it first. The </w:t>
      </w:r>
      <w:hyperlink r:id="rId12">
        <w:r>
          <w:rPr>
            <w:color w:val="1d4ed8"/>
            <w:u w:val="single"/>
          </w:rPr>
          <w:t xml:space="preserve">Terms of Service</w:t>
        </w:r>
      </w:hyperlink>
      <w:r>
        <w:rPr/>
        <w:t xml:space="preserve"> (§4) forbid attempting "to probe, scan, test, or circumvent the security or authentication measures of the Apps". Review the public source, run a separate copy, or ask the operator in writing.</w:t>
      </w:r>
    </w:p>
    <w:p>
      <w:pPr>
        <w:keepNext/>
        <w:spacing w:before="120" w:after="40"/>
      </w:pPr>
      <w:r>
        <w:rPr>
          <w:b/>
        </w:rPr>
        <w:t>How are vulnerabilities reported and fixed?</w:t>
      </w:r>
    </w:p>
    <w:p>
      <w:pPr>
        <w:keepNext/>
      </w:pPr>
      <w:r>
        <w:rPr/>
        <w:t xml:space="preserve">Email </w:t>
      </w:r>
      <w:hyperlink r:id="rId16">
        <w:r>
          <w:rPr>
            <w:color w:val="1d4ed8"/>
            <w:u w:val="single"/>
          </w:rPr>
          <w:t xml:space="preserve">security@spertsuite.com</w:t>
        </w:r>
      </w:hyperlink>
      <w:r>
        <w:rPr/>
        <w:t>, or use GitHub private vulnerability reporting on each public SPERT</w:t>
      </w:r>
      <w:r>
        <w:rPr>
          <w:vertAlign w:val="superscript"/>
        </w:rPr>
        <w:t>®</w:t>
      </w:r>
      <w:r>
        <w:rPr/>
        <w:t xml:space="preserve"> repository. The Security page (</w:t>
      </w:r>
      <w:hyperlink r:id="rId17">
        <w:r>
          <w:rPr>
            <w:color w:val="1d4ed8"/>
            <w:u w:val="single"/>
          </w:rPr>
          <w:t xml:space="preserve">https://spertsuite.com/security</w:t>
        </w:r>
      </w:hyperlink>
      <w:r>
        <w:rPr/>
        <w:t xml:space="preserve">) says the operator aims to acknowledge reports within 3 business days, and publishes a short advisory after fixing an issue that could have affected users' data. Machine-readable contacts are at </w:t>
      </w:r>
      <w:hyperlink r:id="rId18">
        <w:r>
          <w:rPr>
            <w:rFonts w:ascii="Consolas" w:hAnsi="Consolas" w:cs="Consolas"/>
            <w:color w:val="1d4ed8"/>
            <w:sz w:val="18"/>
            <w:u w:val="single"/>
          </w:rPr>
          <w:t xml:space="preserve">https://spertsuite.com/.well-known/security.txt</w:t>
        </w:r>
      </w:hyperlink>
      <w:r>
        <w:rPr/>
        <w:t xml:space="preserve"> and </w:t>
      </w:r>
      <w:hyperlink r:id="rId19">
        <w:r>
          <w:rPr>
            <w:rFonts w:ascii="Consolas" w:hAnsi="Consolas" w:cs="Consolas"/>
            <w:color w:val="1d4ed8"/>
            <w:sz w:val="18"/>
            <w:u w:val="single"/>
          </w:rPr>
          <w:t xml:space="preserve">https://scheduler.spertsuite.com/.well-known/security.txt</w:t>
        </w:r>
      </w:hyperlink>
      <w:r>
        <w:rPr/>
        <w:t>. Dependabot alerts, CodeQL code scanning and secret scanning are on for every public repository (since 2026-10-25).</w:t>
      </w:r>
    </w:p>
    <w:p>
      <w:pPr>
        <w:keepNext/>
        <w:spacing w:before="120" w:after="40"/>
      </w:pPr>
      <w:r>
        <w:rPr>
          <w:b/>
        </w:rPr>
        <w:t>Is there an audit log?</w:t>
      </w:r>
    </w:p>
    <w:p>
      <w:pPr>
        <w:keepNext/>
      </w:pPr>
      <w:r>
        <w:rPr/>
        <w:t>No, not for users or administrators. Google Cloud keeps operational request logs for 30 days, for the operator's use only (</w:t>
      </w:r>
      <w:hyperlink r:id="rId13">
        <w:r>
          <w:rPr>
            <w:color w:val="1d4ed8"/>
            <w:u w:val="single"/>
          </w:rPr>
          <w:t xml:space="preserve">Privacy</w:t>
        </w:r>
      </w:hyperlink>
      <w:r>
        <w:rPr/>
        <w:t xml:space="preserve"> §2.3).</w:t>
      </w:r>
    </w:p>
    <w:p>
      <w:pPr>
        <w:pStyle w:val="Heading2"/>
      </w:pPr>
      <w:r>
        <w:rPr/>
        <w:t>Privacy</w:t>
      </w:r>
    </w:p>
    <w:p>
      <w:pPr>
        <w:keepNext/>
        <w:spacing w:before="120" w:after="40"/>
      </w:pPr>
      <w:r>
        <w:rPr>
          <w:b/>
        </w:rPr>
        <w:t>What personal data is collected?</w:t>
      </w:r>
    </w:p>
    <w:p>
      <w:pPr>
        <w:keepNext/>
      </w:pPr>
      <w:r>
        <w:rPr/>
        <w:t>Tier 1: none by the operator (</w:t>
      </w:r>
      <w:hyperlink r:id="rId13">
        <w:r>
          <w:rPr>
            <w:color w:val="1d4ed8"/>
            <w:u w:val="single"/>
          </w:rPr>
          <w:t xml:space="preserve">Privacy</w:t>
        </w:r>
      </w:hyperlink>
      <w:r>
        <w:rPr/>
        <w:t xml:space="preserve"> §2.4). Tier 2: name, email and profile-photo link from the sign-in provider, a record of the Terms accepted (with the sign-in provider and first app used), technical data such as IP address, and invitee emails when projects are shared (</w:t>
      </w:r>
      <w:hyperlink r:id="rId13">
        <w:r>
          <w:rPr>
            <w:color w:val="1d4ed8"/>
            <w:u w:val="single"/>
          </w:rPr>
          <w:t xml:space="preserve">Privacy</w:t>
        </w:r>
      </w:hyperlink>
      <w:r>
        <w:rPr/>
        <w:t xml:space="preserve"> §2.1, §2.3, §2.6).</w:t>
      </w:r>
    </w:p>
    <w:p>
      <w:pPr>
        <w:keepNext/>
        <w:spacing w:before="120" w:after="40"/>
      </w:pPr>
      <w:r>
        <w:rPr>
          <w:b/>
        </w:rPr>
        <w:t>Where is it stored?</w:t>
      </w:r>
    </w:p>
    <w:p>
      <w:pPr>
        <w:keepNext/>
      </w:pPr>
      <w:r>
        <w:rPr/>
        <w:t>In the United States: "Google Cloud Firestore multi-region nam5" (</w:t>
      </w:r>
      <w:hyperlink r:id="rId13">
        <w:r>
          <w:rPr>
            <w:color w:val="1d4ed8"/>
            <w:u w:val="single"/>
          </w:rPr>
          <w:t xml:space="preserve">Privacy</w:t>
        </w:r>
      </w:hyperlink>
      <w:r>
        <w:rPr/>
        <w:t xml:space="preserve"> §9). Operational logs are not restricted to one region (§2.3). There is no regional choice.</w:t>
      </w:r>
    </w:p>
    <w:p>
      <w:pPr>
        <w:keepNext/>
        <w:spacing w:before="120" w:after="40"/>
      </w:pPr>
      <w:r>
        <w:rPr>
          <w:b/>
        </w:rPr>
        <w:t>How is it deleted?</w:t>
      </w:r>
    </w:p>
    <w:p>
      <w:pPr>
        <w:keepNext/>
      </w:pPr>
      <w:r>
        <w:rPr/>
        <w:t>On request to the operator, "not to exceed thirty (30) days under normal circumstances"; backup copies expire within 98 days (</w:t>
      </w:r>
      <w:hyperlink r:id="rId13">
        <w:r>
          <w:rPr>
            <w:color w:val="1d4ed8"/>
            <w:u w:val="single"/>
          </w:rPr>
          <w:t xml:space="preserve">Privacy</w:t>
        </w:r>
      </w:hyperlink>
      <w:r>
        <w:rPr/>
        <w:t xml:space="preserve"> §6). There is no self-service delete-account control. Local data is deleted by the user.</w:t>
      </w:r>
    </w:p>
    <w:p>
      <w:pPr>
        <w:keepNext/>
        <w:spacing w:before="120" w:after="40"/>
      </w:pPr>
      <w:r>
        <w:rPr>
          <w:b/>
        </w:rPr>
        <w:t>Will the operator sign a data processing agreement?</w:t>
      </w:r>
    </w:p>
    <w:p>
      <w:pPr>
        <w:keepNext/>
      </w:pPr>
      <w:r>
        <w:rPr/>
        <w:t xml:space="preserve">None is offered. Under the </w:t>
      </w:r>
      <w:hyperlink r:id="rId13">
        <w:r>
          <w:rPr>
            <w:color w:val="1d4ed8"/>
            <w:u w:val="single"/>
          </w:rPr>
          <w:t xml:space="preserve">Privacy Policy</w:t>
        </w:r>
      </w:hyperlink>
      <w:r>
        <w:rPr/>
        <w:t xml:space="preserve"> the operator is the data controller (§7.6). Tier 1 involves no personal data on the operator's side.</w:t>
      </w:r>
    </w:p>
    <w:p>
      <w:pPr>
        <w:keepNext/>
        <w:spacing w:before="120" w:after="40"/>
      </w:pPr>
      <w:r>
        <w:rPr>
          <w:b/>
        </w:rPr>
        <w:t>Who else receives data?</w:t>
      </w:r>
    </w:p>
    <w:p>
      <w:pPr>
        <w:keepNext/>
      </w:pPr>
      <w:r>
        <w:rPr/>
        <w:t xml:space="preserve">Google (Firebase and Google Cloud), Vercel and Resend, as named in </w:t>
      </w:r>
      <w:hyperlink r:id="rId13">
        <w:r>
          <w:rPr>
            <w:color w:val="1d4ed8"/>
            <w:u w:val="single"/>
          </w:rPr>
          <w:t xml:space="preserve">Privacy Policy</w:t>
        </w:r>
      </w:hyperlink>
      <w:r>
        <w:rPr/>
        <w:t xml:space="preserve"> §4, and Microsoft for email sent to </w:t>
      </w:r>
      <w:hyperlink r:id="rId20">
        <w:r>
          <w:rPr>
            <w:color w:val="1d4ed8"/>
            <w:u w:val="single"/>
          </w:rPr>
          <w:t xml:space="preserve">spertsuite.com</w:t>
        </w:r>
      </w:hyperlink>
      <w:r>
        <w:rPr/>
        <w:t xml:space="preserve"> addresses (§2.7, §4.6); the user's own AI provider for Connect AI (§4.5); and, for SPERT</w:t>
      </w:r>
      <w:r>
        <w:rPr>
          <w:vertAlign w:val="superscript"/>
        </w:rPr>
        <w:t>®</w:t>
      </w:r>
      <w:r>
        <w:rPr/>
        <w:t xml:space="preserve"> Scheduler's holiday lookup only, a public holiday service, Nager.Date, that receives a country code and year (</w:t>
      </w:r>
      <w:hyperlink r:id="rId13">
        <w:r>
          <w:rPr>
            <w:color w:val="1d4ed8"/>
            <w:u w:val="single"/>
          </w:rPr>
          <w:t xml:space="preserve">Privacy</w:t>
        </w:r>
      </w:hyperlink>
      <w:r>
        <w:rPr/>
        <w:t xml:space="preserve"> §1). The </w:t>
      </w:r>
      <w:r>
        <w:rPr>
          <w:i/>
        </w:rPr>
        <w:t>Information Security Profile</w:t>
      </w:r>
      <w:r>
        <w:rPr/>
        <w:t xml:space="preserve"> lists them.</w:t>
      </w:r>
    </w:p>
    <w:p>
      <w:pPr>
        <w:pStyle w:val="Heading2"/>
      </w:pPr>
      <w:r>
        <w:rPr/>
        <w:t>Connect AI (tier 3 only)</w:t>
      </w:r>
    </w:p>
    <w:p>
      <w:pPr>
        <w:keepNext/>
        <w:spacing w:before="120" w:after="40"/>
      </w:pPr>
      <w:r>
        <w:rPr>
          <w:b/>
        </w:rPr>
        <w:t>Does it use AI?</w:t>
      </w:r>
    </w:p>
    <w:p>
      <w:pPr>
        <w:keepNext/>
      </w:pPr>
      <w:r>
        <w:rPr/>
        <w:t xml:space="preserve">Not by default, and none of the apps has AI built in. Connect AI lets a user connect their own AI assistant, such as </w:t>
      </w:r>
      <w:r>
        <w:rPr>
          <w:highlight w:val="yellow"/>
        </w:rPr>
        <w:t>[AI PLATFORM]</w:t>
      </w:r>
      <w:r>
        <w:rPr/>
        <w:t>, to one open project. It is opt-in each session, and only SPERT</w:t>
      </w:r>
      <w:r>
        <w:rPr>
          <w:vertAlign w:val="superscript"/>
        </w:rPr>
        <w:t>®</w:t>
      </w:r>
      <w:r>
        <w:rPr/>
        <w:t xml:space="preserve"> Scheduler, SPERT</w:t>
      </w:r>
      <w:r>
        <w:rPr>
          <w:vertAlign w:val="superscript"/>
        </w:rPr>
        <w:t>®</w:t>
      </w:r>
      <w:r>
        <w:rPr/>
        <w:t xml:space="preserve"> Story Map and SPERT</w:t>
      </w:r>
      <w:r>
        <w:rPr>
          <w:vertAlign w:val="superscript"/>
        </w:rPr>
        <w:t>®</w:t>
      </w:r>
      <w:r>
        <w:rPr/>
        <w:t xml:space="preserve"> Forecaster offer it.</w:t>
      </w:r>
    </w:p>
    <w:p>
      <w:pPr>
        <w:keepNext/>
        <w:spacing w:before="120" w:after="40"/>
      </w:pPr>
      <w:r>
        <w:rPr>
          <w:b/>
        </w:rPr>
        <w:t>What does the AI provider receive?</w:t>
      </w:r>
    </w:p>
    <w:p>
      <w:pPr>
        <w:keepNext/>
      </w:pPr>
      <w:r>
        <w:rPr/>
        <w:t>Everything the user types into the AI chat, as with any AI use. In Write Mode, the user's existing project is not uploaded (</w:t>
      </w:r>
      <w:hyperlink r:id="rId14">
        <w:r>
          <w:rPr>
            <w:color w:val="1d4ed8"/>
            <w:u w:val="single"/>
          </w:rPr>
          <w:t xml:space="preserve">AI Privacy Notice</w:t>
        </w:r>
      </w:hyperlink>
      <w:r>
        <w:rPr/>
        <w:t xml:space="preserve"> §2.1). In Read Mode, a snapshot of the one open project, including free-text notes and descriptions, goes to the relay and on to the AI provider, even in local-only mode (§2.2). The </w:t>
      </w:r>
      <w:r>
        <w:rPr>
          <w:i/>
        </w:rPr>
        <w:t>Data Flow Diagram</w:t>
      </w:r>
      <w:r>
        <w:rPr/>
        <w:t xml:space="preserve"> lists the fields for each app.</w:t>
      </w:r>
    </w:p>
    <w:p>
      <w:pPr>
        <w:keepNext/>
        <w:spacing w:before="120" w:after="40"/>
      </w:pPr>
      <w:r>
        <w:rPr>
          <w:b/>
        </w:rPr>
        <w:t>Can the AI delete our work?</w:t>
      </w:r>
    </w:p>
    <w:p>
      <w:pPr>
        <w:keepNext/>
      </w:pPr>
      <w:r>
        <w:rPr/>
        <w:t>No tool deletes an activity, milestone, story-map item or project. Some tools overwrite names, estimates and descriptions, and some remove links or allocations. SPERT</w:t>
      </w:r>
      <w:r>
        <w:rPr>
          <w:vertAlign w:val="superscript"/>
        </w:rPr>
        <w:t>®</w:t>
      </w:r>
      <w:r>
        <w:rPr/>
        <w:t xml:space="preserve"> Forecaster's connection is read-only. The </w:t>
      </w:r>
      <w:r>
        <w:rPr>
          <w:i/>
        </w:rPr>
        <w:t>Data Flow Diagram</w:t>
      </w:r>
      <w:r>
        <w:rPr/>
        <w:t xml:space="preserve"> appendix lists every tool.</w:t>
      </w:r>
    </w:p>
    <w:p>
      <w:pPr>
        <w:keepNext/>
        <w:spacing w:before="120" w:after="40"/>
      </w:pPr>
      <w:r>
        <w:rPr>
          <w:b/>
        </w:rPr>
        <w:t>Can we turn Connect AI off for everyone?</w:t>
      </w:r>
    </w:p>
    <w:p>
      <w:pPr>
        <w:keepNext/>
      </w:pPr>
      <w:r>
        <w:rPr/>
        <w:t>Not inside the apps: consent is per user, per app and per browser (</w:t>
      </w:r>
      <w:hyperlink r:id="rId14">
        <w:r>
          <w:rPr>
            <w:color w:val="1d4ed8"/>
            <w:u w:val="single"/>
          </w:rPr>
          <w:t xml:space="preserve">AI Privacy Notice</w:t>
        </w:r>
      </w:hyperlink>
      <w:r>
        <w:rPr/>
        <w:t xml:space="preserve"> §1). Controls that work: an acceptable-use rule, and </w:t>
      </w:r>
      <w:r>
        <w:rPr>
          <w:highlight w:val="yellow"/>
        </w:rPr>
        <w:t>[AI PLATFORM]</w:t>
      </w:r>
      <w:r>
        <w:rPr/>
        <w:t>'s own controls over which connectors users may add. Blocking the Connect AI server (</w:t>
      </w:r>
      <w:r>
        <w:rPr>
          <w:rFonts w:ascii="Consolas" w:hAnsi="Consolas"/>
          <w:sz w:val="18"/>
        </w:rPr>
        <w:t>mcp.spertsuite.com</w:t>
      </w:r>
      <w:r>
        <w:rPr/>
        <w:t xml:space="preserve">) on </w:t>
      </w:r>
      <w:r>
        <w:rPr>
          <w:highlight w:val="yellow"/>
        </w:rPr>
        <w:t>[ORGANIZATION]</w:t>
      </w:r>
      <w:r>
        <w:rPr/>
        <w:t>'s network does not work, because the AI provider's servers call it, not the user's device. Starting Connect AI does need the user's browser to call SPERT</w:t>
      </w:r>
      <w:r>
        <w:rPr>
          <w:vertAlign w:val="superscript"/>
        </w:rPr>
        <w:t>®</w:t>
      </w:r>
      <w:r>
        <w:rPr/>
        <w:t xml:space="preserve"> Suite's pairing function at </w:t>
      </w:r>
      <w:r>
        <w:rPr>
          <w:rFonts w:ascii="Consolas" w:hAnsi="Consolas"/>
          <w:sz w:val="18"/>
        </w:rPr>
        <w:t>us-central1-spert-suite.cloudfunctions.net/generatePairingCode</w:t>
      </w:r>
      <w:r>
        <w:rPr/>
        <w:t xml:space="preserve">, so blocking that path, or that whole host (which also stops sharing invitations), may stop Connect AI from starting. This is untested, so </w:t>
      </w:r>
      <w:r>
        <w:rPr>
          <w:highlight w:val="yellow"/>
        </w:rPr>
        <w:t>[ORGANIZATION]</w:t>
      </w:r>
      <w:r>
        <w:rPr/>
        <w:t>'s IT team should test any block it relies on.</w:t>
      </w:r>
    </w:p>
    <w:p>
      <w:pPr>
        <w:keepNext/>
        <w:spacing w:before="120" w:after="40"/>
      </w:pPr>
      <w:r>
        <w:rPr>
          <w:b/>
        </w:rPr>
        <w:t>Is our data used to train AI models?</w:t>
      </w:r>
    </w:p>
    <w:p>
      <w:pPr>
        <w:keepNext/>
      </w:pPr>
      <w:r>
        <w:rPr/>
        <w:t>"The Operator does not use your data to train machine learning models" (</w:t>
      </w:r>
      <w:hyperlink r:id="rId13">
        <w:r>
          <w:rPr>
            <w:color w:val="1d4ed8"/>
            <w:u w:val="single"/>
          </w:rPr>
          <w:t xml:space="preserve">Privacy</w:t>
        </w:r>
      </w:hyperlink>
      <w:r>
        <w:rPr/>
        <w:t xml:space="preserve"> §3). The AI provider's terms govern what it does; they vary by account type (</w:t>
      </w:r>
      <w:hyperlink r:id="rId14">
        <w:r>
          <w:rPr>
            <w:color w:val="1d4ed8"/>
            <w:u w:val="single"/>
          </w:rPr>
          <w:t xml:space="preserve">AI Privacy Notice</w:t>
        </w:r>
      </w:hyperlink>
      <w:r>
        <w:rPr/>
        <w:t xml:space="preserve"> §3).</w:t>
      </w:r>
    </w:p>
    <w:p>
      <w:pPr>
        <w:pStyle w:val="Heading2"/>
      </w:pPr>
      <w:r>
        <w:rPr/>
        <w:t>Legal and procurement</w:t>
      </w:r>
    </w:p>
    <w:p>
      <w:pPr>
        <w:keepNext/>
        <w:spacing w:before="120" w:after="40"/>
      </w:pPr>
      <w:r>
        <w:rPr>
          <w:b/>
        </w:rPr>
        <w:t>Is there a contract?</w:t>
      </w:r>
    </w:p>
    <w:p>
      <w:pPr>
        <w:keepNext/>
      </w:pPr>
      <w:r>
        <w:rPr/>
        <w:t xml:space="preserve">Only the standard online </w:t>
      </w:r>
      <w:hyperlink r:id="rId12">
        <w:r>
          <w:rPr>
            <w:color w:val="1d4ed8"/>
            <w:u w:val="single"/>
          </w:rPr>
          <w:t xml:space="preserve">Terms of Service</w:t>
        </w:r>
      </w:hyperlink>
      <w:r>
        <w:rPr/>
        <w:t xml:space="preserve">, </w:t>
      </w:r>
      <w:hyperlink r:id="rId13">
        <w:r>
          <w:rPr>
            <w:color w:val="1d4ed8"/>
            <w:u w:val="single"/>
          </w:rPr>
          <w:t xml:space="preserve">Privacy Policy</w:t>
        </w:r>
      </w:hyperlink>
      <w:r>
        <w:rPr/>
        <w:t xml:space="preserve"> and, for Connect AI, the </w:t>
      </w:r>
      <w:hyperlink r:id="rId14">
        <w:r>
          <w:rPr>
            <w:color w:val="1d4ed8"/>
            <w:u w:val="single"/>
          </w:rPr>
          <w:t xml:space="preserve">AI Privacy Notice</w:t>
        </w:r>
      </w:hyperlink>
      <w:r>
        <w:rPr/>
        <w:t xml:space="preserve"> and </w:t>
      </w:r>
      <w:hyperlink r:id="rId15">
        <w:r>
          <w:rPr>
            <w:color w:val="1d4ed8"/>
            <w:u w:val="single"/>
          </w:rPr>
          <w:t xml:space="preserve">AI Connectivity Consent Notice</w:t>
        </w:r>
      </w:hyperlink>
      <w:r>
        <w:rPr/>
        <w:t>. There is no negotiated agreement.</w:t>
      </w:r>
    </w:p>
    <w:p>
      <w:pPr>
        <w:keepNext/>
        <w:spacing w:before="120" w:after="40"/>
      </w:pPr>
      <w:r>
        <w:rPr>
          <w:b/>
        </w:rPr>
        <w:t>What should legal look at first?</w:t>
      </w:r>
    </w:p>
    <w:p>
      <w:pPr>
        <w:keepNext/>
      </w:pPr>
      <w:r>
        <w:rPr/>
        <w:t>The authority representation for people acting for an employer (</w:t>
      </w:r>
      <w:hyperlink r:id="rId12">
        <w:r>
          <w:rPr>
            <w:color w:val="1d4ed8"/>
            <w:u w:val="single"/>
          </w:rPr>
          <w:t xml:space="preserve">ToS</w:t>
        </w:r>
      </w:hyperlink>
      <w:r>
        <w:rPr/>
        <w:t xml:space="preserve"> §5.5, §5A.4); the as-is disclaimer and the right to discontinue without notice (§2, §8); the liability cap of the greater of $25 or fees paid in 12 months (§9); the user's indemnity (§10); and Florida law, Florida courts and the class action waiver (§17).</w:t>
      </w:r>
    </w:p>
    <w:p>
      <w:pPr>
        <w:keepNext/>
        <w:spacing w:before="120" w:after="40"/>
      </w:pPr>
      <w:r>
        <w:rPr>
          <w:b/>
        </w:rPr>
        <w:t>Will our users have to accept new terms?</w:t>
      </w:r>
    </w:p>
    <w:p>
      <w:pPr>
        <w:keepNext/>
      </w:pPr>
      <w:r>
        <w:rPr/>
        <w:t xml:space="preserve">Users who accepted the Terms before October 26, 2026 are asked to accept the updated </w:t>
      </w:r>
      <w:hyperlink r:id="rId12">
        <w:r>
          <w:rPr>
            <w:color w:val="1d4ed8"/>
            <w:u w:val="single"/>
          </w:rPr>
          <w:t xml:space="preserve">Terms of Service</w:t>
        </w:r>
      </w:hyperlink>
      <w:r>
        <w:rPr/>
        <w:t xml:space="preserve"> and </w:t>
      </w:r>
      <w:hyperlink r:id="rId13">
        <w:r>
          <w:rPr>
            <w:color w:val="1d4ed8"/>
            <w:u w:val="single"/>
          </w:rPr>
          <w:t xml:space="preserve">Privacy Policy</w:t>
        </w:r>
      </w:hyperlink>
      <w:r>
        <w:rPr/>
        <w:t>; a user who is already signed in is signed out once and asked when they sign in again.</w:t>
      </w:r>
    </w:p>
    <w:p>
      <w:pPr>
        <w:keepNext/>
        <w:spacing w:before="120" w:after="40"/>
      </w:pPr>
      <w:r>
        <w:rPr>
          <w:b/>
        </w:rPr>
        <w:t>Is there an SLA or support?</w:t>
      </w:r>
    </w:p>
    <w:p>
      <w:pPr>
        <w:keepNext/>
      </w:pPr>
      <w:r>
        <w:rPr/>
        <w:t>No. The service is "provided on a best-effort basis" (</w:t>
      </w:r>
      <w:hyperlink r:id="rId12">
        <w:r>
          <w:rPr>
            <w:color w:val="1d4ed8"/>
            <w:u w:val="single"/>
          </w:rPr>
          <w:t xml:space="preserve">ToS</w:t>
        </w:r>
      </w:hyperlink>
      <w:r>
        <w:rPr/>
        <w:t xml:space="preserve"> §2).</w:t>
      </w:r>
    </w:p>
    <w:p>
      <w:pPr>
        <w:keepNext/>
        <w:spacing w:before="120" w:after="40"/>
      </w:pPr>
      <w:r>
        <w:rPr>
          <w:b/>
        </w:rPr>
        <w:t>What if the operator stops?</w:t>
      </w:r>
    </w:p>
    <w:p>
      <w:pPr>
        <w:keepNext/>
      </w:pPr>
      <w:r>
        <w:rPr/>
        <w:t xml:space="preserve">Local-only data stays in the user's browser and can be exported at any time. The GPL licence permits </w:t>
      </w:r>
      <w:r>
        <w:rPr>
          <w:highlight w:val="yellow"/>
        </w:rPr>
        <w:t>[ORGANIZATION]</w:t>
      </w:r>
      <w:r>
        <w:rPr/>
        <w:t xml:space="preserve"> to run its own copy, under a different name (</w:t>
      </w:r>
      <w:hyperlink r:id="rId12">
        <w:r>
          <w:rPr>
            <w:color w:val="1d4ed8"/>
            <w:u w:val="single"/>
          </w:rPr>
          <w:t xml:space="preserve">ToS</w:t>
        </w:r>
      </w:hyperlink>
      <w:r>
        <w:rPr/>
        <w:t xml:space="preserve"> §3, §7).</w:t>
      </w:r>
    </w:p>
    <w:p>
      <w:pPr>
        <w:pStyle w:val="Heading2"/>
      </w:pPr>
      <w:r>
        <w:rPr/>
        <w:t>Operations</w:t>
      </w:r>
    </w:p>
    <w:p>
      <w:pPr>
        <w:keepNext/>
        <w:spacing w:before="120" w:after="40"/>
      </w:pPr>
      <w:r>
        <w:rPr>
          <w:b/>
        </w:rPr>
        <w:t>What happens on a shared computer?</w:t>
      </w:r>
    </w:p>
    <w:p>
      <w:pPr>
        <w:keepNext/>
      </w:pPr>
      <w:r>
        <w:rPr/>
        <w:t>Local projects belong to the browser profile, so anyone using that profile can see them. Use assigned devices or one browser profile per person.</w:t>
      </w:r>
    </w:p>
    <w:p>
      <w:pPr>
        <w:keepNext/>
        <w:spacing w:before="120" w:after="40"/>
      </w:pPr>
      <w:r>
        <w:rPr>
          <w:b/>
        </w:rPr>
        <w:t>How will we know if the facts change?</w:t>
      </w:r>
    </w:p>
    <w:p>
      <w:pPr>
        <w:keepNext/>
      </w:pPr>
      <w:r>
        <w:rPr/>
        <w:t>The operator posts updated legal documents with a new version and effective date (</w:t>
      </w:r>
      <w:hyperlink r:id="rId12">
        <w:r>
          <w:rPr>
            <w:color w:val="1d4ed8"/>
            <w:u w:val="single"/>
          </w:rPr>
          <w:t xml:space="preserve">ToS</w:t>
        </w:r>
      </w:hyperlink>
      <w:r>
        <w:rPr/>
        <w:t xml:space="preserve"> §16; </w:t>
      </w:r>
      <w:hyperlink r:id="rId13">
        <w:r>
          <w:rPr>
            <w:color w:val="1d4ed8"/>
            <w:u w:val="single"/>
          </w:rPr>
          <w:t xml:space="preserve">Privacy</w:t>
        </w:r>
      </w:hyperlink>
      <w:r>
        <w:rPr/>
        <w:t xml:space="preserve"> §11), and has said it will give notice before changing where cloud data is stored (</w:t>
      </w:r>
      <w:hyperlink r:id="rId13">
        <w:r>
          <w:rPr>
            <w:color w:val="1d4ed8"/>
            <w:u w:val="single"/>
          </w:rPr>
          <w:t xml:space="preserve">Privacy</w:t>
        </w:r>
      </w:hyperlink>
      <w:r>
        <w:rPr/>
        <w:t xml:space="preserve"> §9). Re-review triggers are recorded in the </w:t>
      </w:r>
      <w:r>
        <w:rPr>
          <w:i/>
        </w:rPr>
        <w:t>Approval Pathway Checklist</w:t>
      </w:r>
      <w:r>
        <w:rPr/>
        <w:t>.</w:t>
      </w:r>
    </w:p>
    <w:p>
      <w:pPr>
        <w:pStyle w:val="Heading2"/>
      </w:pPr>
      <w:r>
        <w:rPr/>
        <w:t>How do we contact the operator?</w:t>
      </w:r>
    </w:p>
    <w:tbl>
      <w:tblPr>
        <w:tblW w:type="auto" w:w="0"/>
        <w:tblBorders>
          <w:top w:val="single" w:sz="8" w:color="fbbf24"/>
          <w:left w:val="single" w:sz="8" w:color="fbbf24"/>
          <w:bottom w:val="single" w:sz="8" w:color="fbbf24"/>
          <w:right w:val="single" w:sz="8" w:color="fbbf24"/>
          <w:insideH w:val="single" w:sz="8" w:color="fbbf24"/>
          <w:insideV w:val="nil"/>
        </w:tblBorders>
        <w:tblLayout w:type="fixed"/>
        <w:tblCellMar>
          <w:top w:w="100" w:type="dxa"/>
          <w:left w:w="140" w:type="dxa"/>
          <w:bottom w:w="100" w:type="dxa"/>
          <w:right w:w="140" w:type="dxa"/>
        </w:tblCellMar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val="clear" w:color="auto" w:fill="fef3c7"/>
          </w:tcPr>
          <w:p>
            <w:r>
              <w:rPr>
                <w:b/>
                <w:sz w:val="19"/>
              </w:rPr>
              <w:t>Contacting the operator.</w:t>
            </w:r>
            <w:r>
              <w:rPr>
                <w:sz w:val="19"/>
              </w:rPr>
              <w:t xml:space="preserve"> Security reports and suspected account misuse: </w:t>
            </w:r>
            <w:hyperlink r:id="rId16">
              <w:r>
                <w:rPr>
                  <w:color w:val="1d4ed8"/>
                  <w:sz w:val="19"/>
                  <w:u w:val="single"/>
                </w:rPr>
                <w:t xml:space="preserve">security@spertsuite.com</w:t>
              </w:r>
            </w:hyperlink>
            <w:r>
              <w:rPr>
                <w:sz w:val="19"/>
              </w:rPr>
              <w:t>, or GitHub private vulnerability reporting on any public SPERT</w:t>
            </w:r>
            <w:r>
              <w:rPr>
                <w:sz w:val="19"/>
                <w:vertAlign w:val="superscript"/>
              </w:rPr>
              <w:t>®</w:t>
            </w:r>
            <w:r>
              <w:rPr>
                <w:sz w:val="19"/>
              </w:rPr>
              <w:t xml:space="preserve"> repository. Privacy questions, and requests to access, correct or delete data: </w:t>
            </w:r>
            <w:hyperlink r:id="rId21">
              <w:r>
                <w:rPr>
                  <w:color w:val="1d4ed8"/>
                  <w:sz w:val="19"/>
                  <w:u w:val="single"/>
                </w:rPr>
                <w:t xml:space="preserve">privacy@spertsuite.com</w:t>
              </w:r>
            </w:hyperlink>
            <w:r>
              <w:rPr>
                <w:sz w:val="19"/>
              </w:rPr>
              <w:t xml:space="preserve">. Everything else, including the data-flow summary for IT review that the </w:t>
            </w:r>
            <w:hyperlink r:id="rId14">
              <w:r>
                <w:rPr>
                  <w:color w:val="1d4ed8"/>
                  <w:sz w:val="19"/>
                  <w:u w:val="single"/>
                </w:rPr>
                <w:t xml:space="preserve">AI Privacy Notice</w:t>
              </w:r>
            </w:hyperlink>
            <w:r>
              <w:rPr>
                <w:sz w:val="19"/>
              </w:rPr>
              <w:t xml:space="preserve"> (§7) offers: </w:t>
            </w:r>
            <w:hyperlink r:id="rId22">
              <w:r>
                <w:rPr>
                  <w:color w:val="1d4ed8"/>
                  <w:sz w:val="19"/>
                  <w:u w:val="single"/>
                </w:rPr>
                <w:t xml:space="preserve">contact@spertsuite.com</w:t>
              </w:r>
            </w:hyperlink>
            <w:r>
              <w:rPr>
                <w:sz w:val="19"/>
              </w:rPr>
              <w:t xml:space="preserve">. The security policy is at </w:t>
            </w:r>
            <w:hyperlink r:id="rId17">
              <w:r>
                <w:rPr>
                  <w:color w:val="1d4ed8"/>
                  <w:sz w:val="19"/>
                  <w:u w:val="single"/>
                </w:rPr>
                <w:t xml:space="preserve">https://spertsuite.com/security</w:t>
              </w:r>
            </w:hyperlink>
            <w:r>
              <w:rPr>
                <w:sz w:val="19"/>
              </w:rPr>
              <w:t>. The legal documents give the same addresses.</w:t>
            </w:r>
          </w:p>
        </w:tc>
      </w:tr>
    </w:tbl>
    <w:p>
      <w:pPr>
        <w:spacing w:after="40"/>
      </w:pPr>
    </w:p>
    <w:p>
      <w:pPr>
        <w:pStyle w:val="Heading2"/>
      </w:pPr>
      <w:r>
        <w:rPr/>
        <w:t>Questions added by the organization</w:t>
      </w:r>
    </w:p>
    <w:p>
      <w:pPr>
        <w:keepNext/>
        <w:spacing w:before="120" w:after="40"/>
      </w:pPr>
      <w:r>
        <w:rPr>
          <w:b/>
          <w:highlight w:val="yellow"/>
        </w:rPr>
        <w:t>[QUESTION]</w:t>
      </w:r>
    </w:p>
    <w:p>
      <w:pPr>
        <w:keepNext/>
      </w:pPr>
      <w:r>
        <w:rPr>
          <w:highlight w:val="yellow"/>
        </w:rPr>
        <w:t>[ANSWER AND SOURCE]</w:t>
      </w:r>
    </w:p>
    <w:p>
      <w:pPr>
        <w:pStyle w:val="Heading2"/>
      </w:pPr>
      <w:r>
        <w:rPr/>
        <w:t>Reviewer notes</w:t>
      </w:r>
    </w:p>
    <w:p>
      <w:pPr>
        <w:numPr>
          <w:ilvl w:val="0"/>
          <w:numId w:val="9000"/>
        </w:numPr>
        <w:spacing w:after="40"/>
      </w:pPr>
      <w:r>
        <w:rPr>
          <w:b/>
        </w:rPr>
        <w:t>"Open source with no vendor review."</w:t>
      </w:r>
      <w:r>
        <w:rPr/>
        <w:t xml:space="preserve"> Every answer here cites the public source or a published legal document, so it can be checked; none is backed by an independent audit.</w:t>
      </w:r>
    </w:p>
    <w:p>
      <w:pPr>
        <w:numPr>
          <w:ilvl w:val="0"/>
          <w:numId w:val="9000"/>
        </w:numPr>
        <w:spacing w:after="40"/>
      </w:pPr>
      <w:r>
        <w:rPr>
          <w:b/>
        </w:rPr>
        <w:t>"Data leaving the environment."</w:t>
      </w:r>
      <w:r>
        <w:rPr/>
        <w:t xml:space="preserve"> Only in tiers 2 and 3, each a separate decision.</w:t>
      </w:r>
    </w:p>
    <w:p>
      <w:pPr>
        <w:numPr>
          <w:ilvl w:val="0"/>
          <w:numId w:val="9000"/>
        </w:numPr>
        <w:spacing w:after="40"/>
      </w:pPr>
      <w:r>
        <w:rPr>
          <w:b/>
        </w:rPr>
        <w:t>"Audit and logging."</w:t>
      </w:r>
      <w:r>
        <w:rPr/>
        <w:t xml:space="preserve"> There is no customer-visible log; size the data classification accordingly.</w:t>
      </w:r>
    </w:p>
    <w:p>
      <w:pPr>
        <w:numPr>
          <w:ilvl w:val="0"/>
          <w:numId w:val="9000"/>
        </w:numPr>
        <w:spacing w:after="120"/>
      </w:pPr>
      <w:r>
        <w:rPr>
          <w:b/>
        </w:rPr>
        <w:t>"Unfamiliar vendor."</w:t>
      </w:r>
      <w:r>
        <w:rPr/>
        <w:t xml:space="preserve"> A single operator with no contract; the pilot is small, time-boxed and exportable for that reason.</w:t>
      </w:r>
    </w:p>
    <w:sectPr w:rsidR="00FC693F" w:rsidRPr="0006063C" w:rsidSect="00034616">
      <w:footerReference w:type="default" r:id="rId23"/>
      <w:pgSz w:w="12240" w:h="15840"/>
      <w:pgMar w:top="1008" w:right="936" w:bottom="100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SPERT</w:t>
    </w:r>
    <w:r>
      <w:rPr>
        <w:color w:val="475569"/>
        <w:sz w:val="16"/>
        <w:vertAlign w:val="superscript"/>
      </w:rPr>
      <w:t>®</w:t>
    </w:r>
    <w:r>
      <w:rPr>
        <w:color w:val="475569"/>
        <w:sz w:val="16"/>
      </w:rPr>
      <w:t xml:space="preserve"> Suite Approval Kit v1.0.0 · Reviewer FAQ · Page </w:t>
    </w:r>
    <w:r>
      <w:rPr>
        <w:color w:val="475569"/>
        <w:sz w:val="16"/>
      </w:rPr>
      <w:fldChar w:fldCharType="begin"/>
    </w:r>
    <w:r>
      <w:rPr>
        <w:color w:val="475569"/>
        <w:sz w:val="16"/>
      </w:rPr>
      <w:instrText xml:space="preserve">PAGE</w:instrText>
    </w:r>
    <w:r>
      <w:rPr>
        <w:color w:val="475569"/>
        <w:sz w:val="16"/>
      </w:rPr>
      <w:fldChar w:fldCharType="end"/>
    </w:r>
    <w:r>
      <w:rPr>
        <w:color w:val="475569"/>
        <w:sz w:val="16"/>
      </w:rPr>
      <w:t xml:space="preserve"> · </w:t>
    </w:r>
    <w:hyperlink r:id="rId1">
      <w:r>
        <w:rPr>
          <w:color w:val="1d4ed8"/>
          <w:sz w:val="16"/>
          <w:u w:val="single"/>
        </w:rPr>
        <w:t xml:space="preserve">spertsuite.com/approval-kit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00">
    <w:multiLevelType w:val="hybridMultilevel"/>
    <w:lvl w:ilvl="0">
      <w:start w:val="1"/>
      <w:numFmt w:val="bullet"/>
      <w:lvlText w:val="—"/>
      <w:lvlJc w:val="left"/>
      <w:pPr>
        <w:ind w:left="360" w:hanging="300"/>
      </w:pPr>
      <w:rPr>
        <w:rFonts w:ascii="Arial" w:hAnsi="Arial" w:cs="Arial"/>
      </w:rPr>
    </w:lvl>
    <w:lvl w:ilvl="1">
      <w:start w:val="1"/>
      <w:numFmt w:val="bullet"/>
      <w:lvlText w:val="—"/>
      <w:lvlJc w:val="left"/>
      <w:pPr>
        <w:ind w:left="720" w:hanging="300"/>
      </w:pPr>
      <w:rPr>
        <w:rFonts w:ascii="Arial" w:hAnsi="Arial" w:cs="Arial"/>
      </w:rPr>
    </w:lvl>
    <w:lvl w:ilvl="2">
      <w:start w:val="1"/>
      <w:numFmt w:val="bullet"/>
      <w:lvlText w:val="—"/>
      <w:lvlJc w:val="left"/>
      <w:pPr>
        <w:ind w:left="1080" w:hanging="300"/>
      </w:pPr>
      <w:rPr>
        <w:rFonts w:ascii="Arial" w:hAnsi="Arial" w:cs="Arial"/>
      </w:rPr>
    </w:lvl>
  </w:abstractNum>
  <w:abstractNum w:abstractNumId="9001">
    <w:multiLevelType w:val="hybridMultilevel"/>
    <w:lvl w:ilvl="0">
      <w:start w:val="1"/>
      <w:numFmt w:val="decimal"/>
      <w:lvlText w:val="%1."/>
      <w:lvlJc w:val="left"/>
      <w:pPr>
        <w:ind w:left="360" w:hanging="300"/>
      </w:pPr>
    </w:lvl>
    <w:lvl w:ilvl="1">
      <w:start w:val="1"/>
      <w:numFmt w:val="decimal"/>
      <w:lvlText w:val="%2."/>
      <w:lvlJc w:val="left"/>
      <w:pPr>
        <w:ind w:left="720" w:hanging="300"/>
      </w:pPr>
    </w:lvl>
    <w:lvl w:ilvl="2">
      <w:start w:val="1"/>
      <w:numFmt w:val="decimal"/>
      <w:lvlText w:val="%3."/>
      <w:lvlJc w:val="left"/>
      <w:pPr>
        <w:ind w:left="1080" w:hanging="30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00">
    <w:abstractNumId w:val="90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/>
      <w:color w:val="1E29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rial" w:hAnsi="Arial" w:eastAsia="Arial"/>
      <w:b/>
      <w:bCs/>
      <w:i w:val="0"/>
      <w:color w:val="1D4ED8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hd w:val="clear" w:color="auto" w:fill="1d4ed8"/>
      <w:spacing w:before="280" w:after="120"/>
      <w:jc w:val="center"/>
      <w:outlineLvl w:val="1"/>
    </w:pPr>
    <w:rPr>
      <w:rFonts w:ascii="Arial" w:hAnsi="Arial" w:eastAsia="Arial"/>
      <w:b/>
      <w:bCs/>
      <w:i w:val="0"/>
      <w:caps/>
      <w:color w:val="FFFFFF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="Arial" w:hAnsi="Arial" w:eastAsia="Arial"/>
      <w:b/>
      <w:bCs/>
      <w:i w:val="0"/>
      <w:color w:val="1D4ED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60" w:after="60"/>
      <w:outlineLvl w:val="3"/>
    </w:pPr>
    <w:rPr>
      <w:rFonts w:ascii="Arial" w:hAnsi="Arial" w:eastAsia="Arial"/>
      <w:b/>
      <w:bCs/>
      <w:i w:val="0"/>
      <w:iCs/>
      <w:color w:val="1E293B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Arial" w:hAnsi="Arial" w:eastAsia="Arial"/>
      <w:b/>
      <w:i w:val="0"/>
      <w:color w:val="1D4ED8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spertsuite.com/approval-kit" TargetMode="External"/><Relationship Id="rId11" Type="http://schemas.openxmlformats.org/officeDocument/2006/relationships/hyperlink" Target="https://github.com/famousdavis/spert-landing" TargetMode="External"/><Relationship Id="rId12" Type="http://schemas.openxmlformats.org/officeDocument/2006/relationships/hyperlink" Target="https://spertsuite.com/TOS.pdf" TargetMode="External"/><Relationship Id="rId13" Type="http://schemas.openxmlformats.org/officeDocument/2006/relationships/hyperlink" Target="https://spertsuite.com/PRIVACY.pdf" TargetMode="External"/><Relationship Id="rId14" Type="http://schemas.openxmlformats.org/officeDocument/2006/relationships/hyperlink" Target="https://spertsuite.com/ai-privacy" TargetMode="External"/><Relationship Id="rId15" Type="http://schemas.openxmlformats.org/officeDocument/2006/relationships/hyperlink" Target="https://spertsuite.com/ai-consent-notice" TargetMode="External"/><Relationship Id="rId16" Type="http://schemas.openxmlformats.org/officeDocument/2006/relationships/hyperlink" Target="mailto:security@spertsuite.com" TargetMode="External"/><Relationship Id="rId17" Type="http://schemas.openxmlformats.org/officeDocument/2006/relationships/hyperlink" Target="https://spertsuite.com/security" TargetMode="External"/><Relationship Id="rId18" Type="http://schemas.openxmlformats.org/officeDocument/2006/relationships/hyperlink" Target="https://spertsuite.com/.well-known/security.txt" TargetMode="External"/><Relationship Id="rId19" Type="http://schemas.openxmlformats.org/officeDocument/2006/relationships/hyperlink" Target="https://scheduler.spertsuite.com/.well-known/security.txt" TargetMode="External"/><Relationship Id="rId20" Type="http://schemas.openxmlformats.org/officeDocument/2006/relationships/hyperlink" Target="https://spertsuite.com" TargetMode="External"/><Relationship Id="rId21" Type="http://schemas.openxmlformats.org/officeDocument/2006/relationships/hyperlink" Target="mailto:privacy@spertsuite.com" TargetMode="External"/><Relationship Id="rId22" Type="http://schemas.openxmlformats.org/officeDocument/2006/relationships/hyperlink" Target="mailto:contact@spertsuite.com" TargetMode="External"/><Relationship Id="rId23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pertsuite.com/approval-k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Reviewer FAQ: SPERT® Suite at [ORGANIZATION]</dc:title>
  <dc:subject>Fill-in template: short, sourced answers to the questions each reviewer asks</dc:subject>
  <dc:creator>William W. Davis, MSPM, PMP</dc:creator>
  <cp:keywords>SPERT Suite; Approval Kit</cp:keywords>
  <dc:description>SPERT® Suite Approval Kit v1.0.0 (Release) · Content reviewed 2026-10-25 · Built 2026-10-26</dc:description>
  <cp:lastModifiedBy/>
  <cp:revision>1</cp:revision>
  <dcterms:created xsi:type="dcterms:W3CDTF">2013-12-23T23:15:00Z</dcterms:created>
  <dcterms:modified xsi:type="dcterms:W3CDTF">2013-12-23T23:15:00Z</dcterms:modified>
  <cp:category/>
  <cp:version>1.0.0</cp:version>
</cp:coreProperties>
</file>