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34"/>
        </w:rPr>
        <w:drawing>
          <wp:inline xmlns:a="http://schemas.openxmlformats.org/drawingml/2006/main" xmlns:pic="http://schemas.openxmlformats.org/drawingml/2006/picture">
            <wp:extent cx="254000" cy="25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4000" cy="254000"/>
                    </a:xfrm>
                    <a:prstGeom prst="rect"/>
                  </pic:spPr>
                </pic:pic>
              </a:graphicData>
            </a:graphic>
          </wp:inline>
        </w:drawing>
      </w:r>
      <w:r>
        <w:rPr>
          <w:sz w:val="34"/>
        </w:rPr>
        <w:t xml:space="preserve">  </w:t>
      </w:r>
      <w:r>
        <w:rPr>
          <w:sz w:val="34"/>
        </w:rPr>
        <w:t>Value Brief: piloting SPERT</w:t>
      </w:r>
      <w:r>
        <w:rPr>
          <w:sz w:val="34"/>
          <w:vertAlign w:val="superscript"/>
        </w:rPr>
        <w:t>®</w:t>
      </w:r>
      <w:r>
        <w:rPr>
          <w:sz w:val="34"/>
        </w:rPr>
        <w:t xml:space="preserve"> Suite at </w:t>
      </w:r>
      <w:r>
        <w:rPr>
          <w:sz w:val="34"/>
          <w:highlight w:val="yellow"/>
        </w:rPr>
        <w:t>[ORGANIZATION]</w:t>
      </w:r>
    </w:p>
    <w:p>
      <w:pPr>
        <w:spacing w:after="20"/>
      </w:pPr>
      <w:r>
        <w:rPr>
          <w:b/>
          <w:color w:val="1D4ED8"/>
          <w:sz w:val="18"/>
        </w:rPr>
        <w:t xml:space="preserve">Template  ·  </w:t>
      </w:r>
      <w:r>
        <w:rPr>
          <w:sz w:val="18"/>
        </w:rPr>
        <w:t xml:space="preserve">Fill-in template: the problem, the pilot, how it fits with existing tools, cost, risks and exit · </w:t>
      </w:r>
      <w:hyperlink r:id="rId10">
        <w:r>
          <w:rPr>
            <w:color w:val="1d4ed8"/>
            <w:sz w:val="18"/>
            <w:u w:val="single"/>
          </w:rPr>
          <w:t xml:space="preserve">spertsuite.com/approval-kit</w:t>
        </w:r>
      </w:hyperlink>
    </w:p>
    <w:p>
      <w:pPr>
        <w:pBdr>
          <w:bottom w:val="single" w:sz="12" w:space="4" w:color="1d4ed8"/>
        </w:pBdr>
      </w:pPr>
      <w:r>
        <w:rPr>
          <w:color w:val="475569"/>
          <w:sz w:val="16"/>
        </w:rPr>
        <w:t>SPERT</w:t>
      </w:r>
      <w:r>
        <w:rPr>
          <w:color w:val="475569"/>
          <w:sz w:val="16"/>
          <w:vertAlign w:val="superscript"/>
        </w:rPr>
        <w:t>®</w:t>
      </w:r>
      <w:r>
        <w:rPr>
          <w:color w:val="475569"/>
          <w:sz w:val="16"/>
        </w:rPr>
        <w:t xml:space="preserve"> Suite Approval Kit v1.0.0 (Release) · Content reviewed 2026-10-25 · Built 2026-10-26</w:t>
      </w:r>
    </w:p>
    <w:p>
      <w:r>
        <w:rPr>
          <w:b/>
        </w:rPr>
        <w:t>Prepared by:</w:t>
      </w:r>
      <w:r>
        <w:rPr/>
        <w:t xml:space="preserve"> </w:t>
      </w:r>
      <w:r>
        <w:rPr>
          <w:highlight w:val="yellow"/>
        </w:rPr>
        <w:t>[PROJECT MANAGER NAME]</w:t>
      </w:r>
      <w:r>
        <w:rPr/>
        <w:t xml:space="preserve">, </w:t>
      </w:r>
      <w:r>
        <w:rPr>
          <w:highlight w:val="yellow"/>
        </w:rPr>
        <w:t>[TEAM]</w:t>
      </w:r>
      <w:r>
        <w:rPr/>
        <w:t xml:space="preserve"> · </w:t>
      </w:r>
      <w:r>
        <w:rPr>
          <w:b/>
        </w:rPr>
        <w:t>Sponsor:</w:t>
      </w:r>
      <w:r>
        <w:rPr/>
        <w:t xml:space="preserve"> </w:t>
      </w:r>
      <w:r>
        <w:rPr>
          <w:highlight w:val="yellow"/>
        </w:rPr>
        <w:t>[SPONSOR NAME, ROLE]</w:t>
      </w:r>
      <w:r>
        <w:rPr/>
        <w:t xml:space="preserve"> · </w:t>
      </w:r>
      <w:r>
        <w:rPr>
          <w:b/>
        </w:rPr>
        <w:t>Date:</w:t>
      </w:r>
      <w:r>
        <w:rPr/>
        <w:t xml:space="preserve"> </w:t>
      </w:r>
      <w:r>
        <w:rPr>
          <w:highlight w:val="yellow"/>
        </w:rPr>
        <w:t>[DATE]</w:t>
      </w:r>
      <w:r>
        <w:br/>
      </w:r>
      <w:r>
        <w:rPr>
          <w:b/>
        </w:rPr>
        <w:t>Kit facts reviewed against:</w:t>
      </w:r>
      <w:r>
        <w:rPr/>
        <w:t xml:space="preserve"> SPERT</w:t>
      </w:r>
      <w:r>
        <w:rPr>
          <w:vertAlign w:val="superscript"/>
        </w:rPr>
        <w:t>®</w:t>
      </w:r>
      <w:r>
        <w:rPr/>
        <w:t xml:space="preserve"> Scheduler 0.79.26, SPERT</w:t>
      </w:r>
      <w:r>
        <w:rPr>
          <w:vertAlign w:val="superscript"/>
        </w:rPr>
        <w:t>®</w:t>
      </w:r>
      <w:r>
        <w:rPr/>
        <w:t xml:space="preserve"> Story Map 0.53.14, SPERT</w:t>
      </w:r>
      <w:r>
        <w:rPr>
          <w:vertAlign w:val="superscript"/>
        </w:rPr>
        <w:t>®</w:t>
      </w:r>
      <w:r>
        <w:rPr/>
        <w:t xml:space="preserve"> Forecaster 0.47.4, SPERT</w:t>
      </w:r>
      <w:r>
        <w:rPr>
          <w:vertAlign w:val="superscript"/>
        </w:rPr>
        <w:t>®</w:t>
      </w:r>
      <w:r>
        <w:rPr/>
        <w:t xml:space="preserve"> CFD 0.15.23, GanttApp™ 0.29.8, MyScrumBudget™ 0.44.4; </w:t>
      </w:r>
      <w:hyperlink r:id="rId11">
        <w:r>
          <w:rPr>
            <w:color w:val="1d4ed8"/>
            <w:u w:val="single"/>
          </w:rPr>
          <w:t xml:space="preserve">Terms of Service</w:t>
        </w:r>
      </w:hyperlink>
      <w:r>
        <w:rPr/>
        <w:t xml:space="preserve"> v1.4 and </w:t>
      </w:r>
      <w:hyperlink r:id="rId12">
        <w:r>
          <w:rPr>
            <w:color w:val="1d4ed8"/>
            <w:u w:val="single"/>
          </w:rPr>
          <w:t xml:space="preserve">Privacy Policy</w:t>
        </w:r>
      </w:hyperlink>
      <w:r>
        <w:rPr/>
        <w:t xml:space="preserve"> v1.4 (effective 2026-10-26). </w:t>
      </w:r>
      <w:r>
        <w:rPr>
          <w:b/>
        </w:rPr>
        <w:t>Review date:</w:t>
      </w:r>
      <w:r>
        <w:rPr/>
        <w:t xml:space="preserve"> 2026-10-25.</w:t>
      </w:r>
    </w:p>
    <w:p>
      <w:r>
        <w:rPr>
          <w:i/>
        </w:rPr>
        <w:t>This brief supports an approval process. It is not legal, compliance or security advice, and it makes no commitments on the operator's behalf beyond those in the published legal documents.</w:t>
      </w:r>
    </w:p>
    <w:tbl>
      <w:tblPr>
        <w:tblW w:type="auto" w:w="0"/>
        <w:tblBorders>
          <w:top w:val="single" w:sz="8" w:color="fbbf24"/>
          <w:left w:val="single" w:sz="8" w:color="fbbf24"/>
          <w:bottom w:val="single" w:sz="8" w:color="fbbf24"/>
          <w:right w:val="single" w:sz="8" w:color="fbbf24"/>
          <w:insideH w:val="single" w:sz="8" w:color="fbbf24"/>
          <w:insideV w:val="nil"/>
        </w:tblBorders>
        <w:tblLayout w:type="fixed"/>
        <w:tblCellMar>
          <w:top w:w="100" w:type="dxa"/>
          <w:left w:w="140" w:type="dxa"/>
          <w:bottom w:w="100" w:type="dxa"/>
          <w:right w:w="140" w:type="dxa"/>
        </w:tblCellMar>
        <w:tblLook w:firstColumn="1" w:firstRow="1" w:lastColumn="0" w:lastRow="0" w:noHBand="0" w:noVBand="1" w:val="04A0"/>
      </w:tblPr>
      <w:tblGrid>
        <w:gridCol w:w="10368"/>
      </w:tblGrid>
      <w:tr>
        <w:tc>
          <w:tcPr>
            <w:tcW w:type="dxa" w:w="10368"/>
            <w:shd w:val="clear" w:color="auto" w:fill="fef3c7"/>
          </w:tcPr>
          <w:p>
            <w:r>
              <w:rPr>
                <w:b/>
                <w:sz w:val="19"/>
              </w:rPr>
              <w:t>For the project manager.</w:t>
            </w:r>
            <w:r>
              <w:rPr>
                <w:sz w:val="19"/>
              </w:rPr>
              <w:t xml:space="preserve"> Aim for two or three pages once it is filled in. Replace every placeholder with your own words and evidence; a specific problem from your own work persuades more than any general claim. Keep the "Where our current tool is the better choice" section: reviewers trust a brief that concedes ground. Delete this box before you send it.</w:t>
            </w:r>
          </w:p>
        </w:tc>
      </w:tr>
    </w:tbl>
    <w:p>
      <w:pPr>
        <w:spacing w:after="40"/>
      </w:pPr>
    </w:p>
    <w:p>
      <w:pPr>
        <w:pStyle w:val="Heading2"/>
      </w:pPr>
      <w:r>
        <w:rPr/>
        <w:t>The request at a glance</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622"/>
        <w:gridCol w:w="7746"/>
      </w:tblGrid>
      <w:tr>
        <w:trPr>
          <w:cantSplit/>
          <w:tblHeader w:val="true"/>
        </w:trPr>
        <w:tc>
          <w:tcPr>
            <w:tcW w:type="dxa" w:w="2622"/>
            <w:shd w:val="clear" w:color="auto" w:fill="1d4ed8"/>
          </w:tcPr>
          <w:p>
            <w:pPr>
              <w:spacing w:after="0"/>
            </w:pPr>
            <w:r>
              <w:rPr>
                <w:b/>
                <w:color w:val="FFFFFF"/>
                <w:sz w:val="18"/>
              </w:rPr>
              <w:t>Item</w:t>
            </w:r>
          </w:p>
        </w:tc>
        <w:tc>
          <w:tcPr>
            <w:tcW w:type="dxa" w:w="7746"/>
            <w:shd w:val="clear" w:color="auto" w:fill="1d4ed8"/>
          </w:tcPr>
          <w:p>
            <w:pPr>
              <w:spacing w:after="0"/>
            </w:pPr>
            <w:r>
              <w:rPr>
                <w:b/>
                <w:color w:val="FFFFFF"/>
                <w:sz w:val="18"/>
              </w:rPr>
              <w:t>Detail</w:t>
            </w:r>
          </w:p>
        </w:tc>
      </w:tr>
      <w:tr>
        <w:trPr>
          <w:cantSplit/>
        </w:trPr>
        <w:tc>
          <w:tcPr>
            <w:tcW w:type="dxa" w:w="2622"/>
          </w:tcPr>
          <w:p>
            <w:pPr>
              <w:spacing w:after="0"/>
            </w:pPr>
            <w:r>
              <w:rPr>
                <w:b/>
                <w:sz w:val="18"/>
              </w:rPr>
              <w:t>What</w:t>
            </w:r>
          </w:p>
        </w:tc>
        <w:tc>
          <w:tcPr>
            <w:tcW w:type="dxa" w:w="7746"/>
          </w:tcPr>
          <w:p>
            <w:pPr>
              <w:spacing w:after="0"/>
            </w:pPr>
            <w:r>
              <w:rPr>
                <w:sz w:val="18"/>
              </w:rPr>
              <w:t xml:space="preserve">A </w:t>
            </w:r>
            <w:r>
              <w:rPr>
                <w:sz w:val="18"/>
                <w:highlight w:val="yellow"/>
              </w:rPr>
              <w:t>[PILOT LENGTH]</w:t>
            </w:r>
            <w:r>
              <w:rPr>
                <w:sz w:val="18"/>
              </w:rPr>
              <w:t xml:space="preserve"> pilot of </w:t>
            </w:r>
            <w:r>
              <w:rPr>
                <w:sz w:val="18"/>
                <w:highlight w:val="yellow"/>
              </w:rPr>
              <w:t>[APPS REQUESTED]</w:t>
            </w:r>
          </w:p>
        </w:tc>
      </w:tr>
      <w:tr>
        <w:trPr>
          <w:cantSplit/>
        </w:trPr>
        <w:tc>
          <w:tcPr>
            <w:tcW w:type="dxa" w:w="2622"/>
            <w:shd w:val="clear" w:color="auto" w:fill="f1f5f9"/>
          </w:tcPr>
          <w:p>
            <w:pPr>
              <w:spacing w:after="0"/>
            </w:pPr>
            <w:r>
              <w:rPr>
                <w:b/>
                <w:sz w:val="18"/>
              </w:rPr>
              <w:t>Who</w:t>
            </w:r>
          </w:p>
        </w:tc>
        <w:tc>
          <w:tcPr>
            <w:tcW w:type="dxa" w:w="7746"/>
            <w:shd w:val="clear" w:color="auto" w:fill="f1f5f9"/>
          </w:tcPr>
          <w:p>
            <w:pPr>
              <w:spacing w:after="0"/>
            </w:pPr>
            <w:r>
              <w:rPr>
                <w:sz w:val="18"/>
                <w:highlight w:val="yellow"/>
              </w:rPr>
              <w:t>[NUMBER]</w:t>
            </w:r>
            <w:r>
              <w:rPr>
                <w:sz w:val="18"/>
              </w:rPr>
              <w:t xml:space="preserve"> users in </w:t>
            </w:r>
            <w:r>
              <w:rPr>
                <w:sz w:val="18"/>
                <w:highlight w:val="yellow"/>
              </w:rPr>
              <w:t>[TEAM]</w:t>
            </w:r>
          </w:p>
        </w:tc>
      </w:tr>
      <w:tr>
        <w:trPr>
          <w:cantSplit/>
        </w:trPr>
        <w:tc>
          <w:tcPr>
            <w:tcW w:type="dxa" w:w="2622"/>
          </w:tcPr>
          <w:p>
            <w:pPr>
              <w:spacing w:after="0"/>
            </w:pPr>
            <w:r>
              <w:rPr>
                <w:b/>
                <w:sz w:val="18"/>
              </w:rPr>
              <w:t>Tiers</w:t>
            </w:r>
          </w:p>
        </w:tc>
        <w:tc>
          <w:tcPr>
            <w:tcW w:type="dxa" w:w="7746"/>
          </w:tcPr>
          <w:p>
            <w:pPr>
              <w:spacing w:after="0"/>
            </w:pPr>
            <w:r>
              <w:rPr>
                <w:sz w:val="18"/>
                <w:highlight w:val="yellow"/>
              </w:rPr>
              <w:t>[TIERS REQUESTED]</w:t>
            </w:r>
            <w:r>
              <w:rPr>
                <w:sz w:val="18"/>
              </w:rPr>
              <w:t xml:space="preserve"> (tier 1, local-only use, recommended to start)</w:t>
            </w:r>
          </w:p>
        </w:tc>
      </w:tr>
      <w:tr>
        <w:trPr>
          <w:cantSplit/>
        </w:trPr>
        <w:tc>
          <w:tcPr>
            <w:tcW w:type="dxa" w:w="2622"/>
            <w:shd w:val="clear" w:color="auto" w:fill="f1f5f9"/>
          </w:tcPr>
          <w:p>
            <w:pPr>
              <w:spacing w:after="0"/>
            </w:pPr>
            <w:r>
              <w:rPr>
                <w:b/>
                <w:sz w:val="18"/>
              </w:rPr>
              <w:t>Data</w:t>
            </w:r>
          </w:p>
        </w:tc>
        <w:tc>
          <w:tcPr>
            <w:tcW w:type="dxa" w:w="7746"/>
            <w:shd w:val="clear" w:color="auto" w:fill="f1f5f9"/>
          </w:tcPr>
          <w:p>
            <w:pPr>
              <w:spacing w:after="0"/>
            </w:pPr>
            <w:r>
              <w:rPr>
                <w:sz w:val="18"/>
              </w:rPr>
              <w:t xml:space="preserve">Planning data classified </w:t>
            </w:r>
            <w:r>
              <w:rPr>
                <w:sz w:val="18"/>
                <w:highlight w:val="yellow"/>
              </w:rPr>
              <w:t>[DATA CLASSIFICATION]</w:t>
            </w:r>
            <w:r>
              <w:rPr>
                <w:sz w:val="18"/>
              </w:rPr>
              <w:t xml:space="preserve"> or lower</w:t>
            </w:r>
          </w:p>
        </w:tc>
      </w:tr>
      <w:tr>
        <w:trPr>
          <w:cantSplit/>
        </w:trPr>
        <w:tc>
          <w:tcPr>
            <w:tcW w:type="dxa" w:w="2622"/>
          </w:tcPr>
          <w:p>
            <w:pPr>
              <w:spacing w:after="0"/>
            </w:pPr>
            <w:r>
              <w:rPr>
                <w:b/>
                <w:sz w:val="18"/>
              </w:rPr>
              <w:t>Licence cost</w:t>
            </w:r>
          </w:p>
        </w:tc>
        <w:tc>
          <w:tcPr>
            <w:tcW w:type="dxa" w:w="7746"/>
          </w:tcPr>
          <w:p>
            <w:pPr>
              <w:spacing w:after="0"/>
            </w:pPr>
            <w:r>
              <w:rPr>
                <w:sz w:val="18"/>
              </w:rPr>
              <w:t>None: "Core application functionality is provided at no charge" (</w:t>
            </w:r>
            <w:hyperlink r:id="rId11">
              <w:r>
                <w:rPr>
                  <w:color w:val="1d4ed8"/>
                  <w:sz w:val="18"/>
                  <w:u w:val="single"/>
                </w:rPr>
                <w:t xml:space="preserve">Terms of Service</w:t>
              </w:r>
            </w:hyperlink>
            <w:r>
              <w:rPr>
                <w:sz w:val="18"/>
              </w:rPr>
              <w:t xml:space="preserve"> §2)</w:t>
            </w:r>
          </w:p>
        </w:tc>
      </w:tr>
      <w:tr>
        <w:trPr>
          <w:cantSplit/>
        </w:trPr>
        <w:tc>
          <w:tcPr>
            <w:tcW w:type="dxa" w:w="2622"/>
            <w:shd w:val="clear" w:color="auto" w:fill="f1f5f9"/>
          </w:tcPr>
          <w:p>
            <w:pPr>
              <w:spacing w:after="0"/>
            </w:pPr>
            <w:r>
              <w:rPr>
                <w:b/>
                <w:sz w:val="18"/>
              </w:rPr>
              <w:t>Decision needed by</w:t>
            </w:r>
          </w:p>
        </w:tc>
        <w:tc>
          <w:tcPr>
            <w:tcW w:type="dxa" w:w="7746"/>
            <w:shd w:val="clear" w:color="auto" w:fill="f1f5f9"/>
          </w:tcPr>
          <w:p>
            <w:pPr>
              <w:spacing w:after="0"/>
            </w:pPr>
            <w:r>
              <w:rPr>
                <w:sz w:val="18"/>
                <w:highlight w:val="yellow"/>
              </w:rPr>
              <w:t>[DATE]</w:t>
            </w:r>
            <w:r>
              <w:rPr>
                <w:sz w:val="18"/>
              </w:rPr>
              <w:t xml:space="preserve">, so that </w:t>
            </w:r>
            <w:r>
              <w:rPr>
                <w:sz w:val="18"/>
                <w:highlight w:val="yellow"/>
              </w:rPr>
              <w:t>[REASON FOR TIMING]</w:t>
            </w:r>
          </w:p>
        </w:tc>
      </w:tr>
    </w:tbl>
    <w:p>
      <w:pPr>
        <w:spacing w:after="40"/>
      </w:pPr>
    </w:p>
    <w:p>
      <w:pPr>
        <w:pStyle w:val="Heading2"/>
      </w:pPr>
      <w:r>
        <w:rPr/>
        <w:t>1. The problem</w:t>
      </w:r>
    </w:p>
    <w:p>
      <w:r>
        <w:rPr>
          <w:highlight w:val="yellow"/>
        </w:rPr>
        <w:t>[PROBLEM STATEMENT]</w:t>
      </w:r>
      <w:r>
        <w:rPr/>
        <w:t>. Describe a real planning question your team cannot answer well today. Prompts:</w:t>
      </w:r>
    </w:p>
    <w:p>
      <w:pPr>
        <w:numPr>
          <w:ilvl w:val="0"/>
          <w:numId w:val="9000"/>
        </w:numPr>
        <w:spacing w:after="40"/>
      </w:pPr>
      <w:r>
        <w:rPr/>
        <w:t>How confident are we in the date or budget we just committed to, and how would we show that confidence to stakeholders?</w:t>
      </w:r>
    </w:p>
    <w:p>
      <w:pPr>
        <w:numPr>
          <w:ilvl w:val="0"/>
          <w:numId w:val="9000"/>
        </w:numPr>
        <w:spacing w:after="40"/>
      </w:pPr>
      <w:r>
        <w:rPr/>
        <w:t>When the plan changes, how quickly can we see what the new likely range of outcomes is?</w:t>
      </w:r>
    </w:p>
    <w:p>
      <w:pPr>
        <w:numPr>
          <w:ilvl w:val="0"/>
          <w:numId w:val="9000"/>
        </w:numPr>
        <w:spacing w:after="120"/>
      </w:pPr>
      <w:r>
        <w:rPr/>
        <w:t xml:space="preserve">Where do our current estimates come from, and how often do we miss them? Give one example: </w:t>
      </w:r>
      <w:r>
        <w:rPr>
          <w:highlight w:val="yellow"/>
        </w:rPr>
        <w:t>[EXAMPLE]</w:t>
      </w:r>
      <w:r>
        <w:rPr/>
        <w:t>.</w:t>
      </w:r>
    </w:p>
    <w:p>
      <w:pPr>
        <w:pStyle w:val="Heading2"/>
      </w:pPr>
      <w:r>
        <w:rPr/>
        <w:t>2. What we propose</w:t>
      </w:r>
    </w:p>
    <w:p>
      <w:r>
        <w:rPr/>
        <w:t xml:space="preserve">A small, reversible pilot. </w:t>
      </w:r>
      <w:r>
        <w:rPr>
          <w:highlight w:val="yellow"/>
        </w:rPr>
        <w:t>[NUMBER]</w:t>
      </w:r>
      <w:r>
        <w:rPr/>
        <w:t xml:space="preserve"> people use </w:t>
      </w:r>
      <w:r>
        <w:rPr>
          <w:highlight w:val="yellow"/>
        </w:rPr>
        <w:t>[APPS REQUESTED]</w:t>
      </w:r>
      <w:r>
        <w:rPr/>
        <w:t xml:space="preserve"> for </w:t>
      </w:r>
      <w:r>
        <w:rPr>
          <w:highlight w:val="yellow"/>
        </w:rPr>
        <w:t>[PILOT LENGTH]</w:t>
      </w:r>
      <w:r>
        <w:rPr/>
        <w:t xml:space="preserve"> on </w:t>
      </w:r>
      <w:r>
        <w:rPr>
          <w:highlight w:val="yellow"/>
        </w:rPr>
        <w:t>[PROJECT OR WORK AREA]</w:t>
      </w:r>
      <w:r>
        <w:rPr/>
        <w:t xml:space="preserve">, alongside </w:t>
      </w:r>
      <w:r>
        <w:rPr>
          <w:highlight w:val="yellow"/>
        </w:rPr>
        <w:t>[EXISTING TOOL]</w:t>
      </w:r>
      <w:r>
        <w:rPr/>
        <w:t>, which remains the system of record. At the end we review the success measures in section 6 and recommend continue, widen or stop.</w:t>
      </w:r>
    </w:p>
    <w:p>
      <w:pPr>
        <w:pStyle w:val="Heading2"/>
      </w:pPr>
      <w:r>
        <w:rPr/>
        <w:t>3. What the apps do</w:t>
      </w:r>
    </w:p>
    <w:p>
      <w:r>
        <w:rPr/>
        <w:t>SPERT</w:t>
      </w:r>
      <w:r>
        <w:rPr>
          <w:vertAlign w:val="superscript"/>
        </w:rPr>
        <w:t>®</w:t>
      </w:r>
      <w:r>
        <w:rPr/>
        <w:t xml:space="preserve"> Suite is six free, browser-based planning apps. Each is used on its own; ask only for the ones you need.</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130"/>
        <w:gridCol w:w="6450"/>
        <w:gridCol w:w="1788"/>
      </w:tblGrid>
      <w:tr>
        <w:trPr>
          <w:cantSplit/>
          <w:tblHeader w:val="true"/>
        </w:trPr>
        <w:tc>
          <w:tcPr>
            <w:tcW w:type="dxa" w:w="2130"/>
            <w:shd w:val="clear" w:color="auto" w:fill="1d4ed8"/>
          </w:tcPr>
          <w:p>
            <w:pPr>
              <w:spacing w:after="0"/>
            </w:pPr>
            <w:r>
              <w:rPr>
                <w:b/>
                <w:color w:val="FFFFFF"/>
                <w:sz w:val="18"/>
              </w:rPr>
              <w:t>App</w:t>
            </w:r>
          </w:p>
        </w:tc>
        <w:tc>
          <w:tcPr>
            <w:tcW w:type="dxa" w:w="6450"/>
            <w:shd w:val="clear" w:color="auto" w:fill="1d4ed8"/>
          </w:tcPr>
          <w:p>
            <w:pPr>
              <w:spacing w:after="0"/>
            </w:pPr>
            <w:r>
              <w:rPr>
                <w:b/>
                <w:color w:val="FFFFFF"/>
                <w:sz w:val="18"/>
              </w:rPr>
              <w:t>What it is for</w:t>
            </w:r>
          </w:p>
        </w:tc>
        <w:tc>
          <w:tcPr>
            <w:tcW w:type="dxa" w:w="1788"/>
            <w:shd w:val="clear" w:color="auto" w:fill="1d4ed8"/>
          </w:tcPr>
          <w:p>
            <w:pPr>
              <w:spacing w:after="0"/>
            </w:pPr>
            <w:r>
              <w:rPr>
                <w:b/>
                <w:color w:val="FFFFFF"/>
                <w:sz w:val="18"/>
              </w:rPr>
              <w:t>In this request?</w:t>
            </w:r>
          </w:p>
        </w:tc>
      </w:tr>
      <w:tr>
        <w:trPr>
          <w:cantSplit/>
        </w:trPr>
        <w:tc>
          <w:tcPr>
            <w:tcW w:type="dxa" w:w="2130"/>
          </w:tcPr>
          <w:p>
            <w:pPr>
              <w:spacing w:after="0"/>
            </w:pPr>
            <w:r>
              <w:rPr>
                <w:sz w:val="18"/>
              </w:rPr>
              <w:t>SPERT</w:t>
            </w:r>
            <w:r>
              <w:rPr>
                <w:sz w:val="18"/>
                <w:vertAlign w:val="superscript"/>
              </w:rPr>
              <w:t>®</w:t>
            </w:r>
            <w:r>
              <w:rPr>
                <w:sz w:val="18"/>
              </w:rPr>
              <w:t xml:space="preserve"> Scheduler</w:t>
            </w:r>
          </w:p>
        </w:tc>
        <w:tc>
          <w:tcPr>
            <w:tcW w:type="dxa" w:w="6450"/>
          </w:tcPr>
          <w:p>
            <w:pPr>
              <w:spacing w:after="0"/>
            </w:pPr>
            <w:r>
              <w:rPr>
                <w:sz w:val="18"/>
              </w:rPr>
              <w:t>Build and maintain a project schedule that accounts for uncertainty, using three-point estimates and Monte Carlo simulation</w:t>
            </w:r>
          </w:p>
        </w:tc>
        <w:tc>
          <w:tcPr>
            <w:tcW w:type="dxa" w:w="1788"/>
          </w:tcPr>
          <w:p>
            <w:pPr>
              <w:spacing w:after="0"/>
            </w:pPr>
            <w:r>
              <w:rPr>
                <w:sz w:val="18"/>
                <w:highlight w:val="yellow"/>
              </w:rPr>
              <w:t>[YES / NO]</w:t>
            </w:r>
          </w:p>
        </w:tc>
      </w:tr>
      <w:tr>
        <w:trPr>
          <w:cantSplit/>
        </w:trPr>
        <w:tc>
          <w:tcPr>
            <w:tcW w:type="dxa" w:w="2130"/>
            <w:shd w:val="clear" w:color="auto" w:fill="f1f5f9"/>
          </w:tcPr>
          <w:p>
            <w:pPr>
              <w:spacing w:after="0"/>
            </w:pPr>
            <w:r>
              <w:rPr>
                <w:sz w:val="18"/>
              </w:rPr>
              <w:t>SPERT</w:t>
            </w:r>
            <w:r>
              <w:rPr>
                <w:sz w:val="18"/>
                <w:vertAlign w:val="superscript"/>
              </w:rPr>
              <w:t>®</w:t>
            </w:r>
            <w:r>
              <w:rPr>
                <w:sz w:val="18"/>
              </w:rPr>
              <w:t xml:space="preserve"> Story Map</w:t>
            </w:r>
          </w:p>
        </w:tc>
        <w:tc>
          <w:tcPr>
            <w:tcW w:type="dxa" w:w="6450"/>
            <w:shd w:val="clear" w:color="auto" w:fill="f1f5f9"/>
          </w:tcPr>
          <w:p>
            <w:pPr>
              <w:spacing w:after="0"/>
            </w:pPr>
            <w:r>
              <w:rPr>
                <w:sz w:val="18"/>
              </w:rPr>
              <w:t>Map and size release scope before the first sprint</w:t>
            </w:r>
          </w:p>
        </w:tc>
        <w:tc>
          <w:tcPr>
            <w:tcW w:type="dxa" w:w="1788"/>
            <w:shd w:val="clear" w:color="auto" w:fill="f1f5f9"/>
          </w:tcPr>
          <w:p>
            <w:pPr>
              <w:spacing w:after="0"/>
            </w:pPr>
            <w:r>
              <w:rPr>
                <w:sz w:val="18"/>
                <w:highlight w:val="yellow"/>
              </w:rPr>
              <w:t>[YES / NO]</w:t>
            </w:r>
          </w:p>
        </w:tc>
      </w:tr>
      <w:tr>
        <w:trPr>
          <w:cantSplit/>
        </w:trPr>
        <w:tc>
          <w:tcPr>
            <w:tcW w:type="dxa" w:w="2130"/>
          </w:tcPr>
          <w:p>
            <w:pPr>
              <w:spacing w:after="0"/>
            </w:pPr>
            <w:r>
              <w:rPr>
                <w:sz w:val="18"/>
              </w:rPr>
              <w:t>SPERT</w:t>
            </w:r>
            <w:r>
              <w:rPr>
                <w:sz w:val="18"/>
                <w:vertAlign w:val="superscript"/>
              </w:rPr>
              <w:t>®</w:t>
            </w:r>
            <w:r>
              <w:rPr>
                <w:sz w:val="18"/>
              </w:rPr>
              <w:t xml:space="preserve"> Forecaster</w:t>
            </w:r>
          </w:p>
        </w:tc>
        <w:tc>
          <w:tcPr>
            <w:tcW w:type="dxa" w:w="6450"/>
          </w:tcPr>
          <w:p>
            <w:pPr>
              <w:spacing w:after="0"/>
            </w:pPr>
            <w:r>
              <w:rPr>
                <w:sz w:val="18"/>
              </w:rPr>
              <w:t>Forecast how many sprints a backlog will take, as a probability, from sprint history or estimates</w:t>
            </w:r>
          </w:p>
        </w:tc>
        <w:tc>
          <w:tcPr>
            <w:tcW w:type="dxa" w:w="1788"/>
          </w:tcPr>
          <w:p>
            <w:pPr>
              <w:spacing w:after="0"/>
            </w:pPr>
            <w:r>
              <w:rPr>
                <w:sz w:val="18"/>
                <w:highlight w:val="yellow"/>
              </w:rPr>
              <w:t>[YES / NO]</w:t>
            </w:r>
          </w:p>
        </w:tc>
      </w:tr>
      <w:tr>
        <w:trPr>
          <w:cantSplit/>
        </w:trPr>
        <w:tc>
          <w:tcPr>
            <w:tcW w:type="dxa" w:w="2130"/>
            <w:shd w:val="clear" w:color="auto" w:fill="f1f5f9"/>
          </w:tcPr>
          <w:p>
            <w:pPr>
              <w:spacing w:after="0"/>
            </w:pPr>
            <w:r>
              <w:rPr>
                <w:sz w:val="18"/>
              </w:rPr>
              <w:t>SPERT</w:t>
            </w:r>
            <w:r>
              <w:rPr>
                <w:sz w:val="18"/>
                <w:vertAlign w:val="superscript"/>
              </w:rPr>
              <w:t>®</w:t>
            </w:r>
            <w:r>
              <w:rPr>
                <w:sz w:val="18"/>
              </w:rPr>
              <w:t xml:space="preserve"> CFD</w:t>
            </w:r>
          </w:p>
        </w:tc>
        <w:tc>
          <w:tcPr>
            <w:tcW w:type="dxa" w:w="6450"/>
            <w:shd w:val="clear" w:color="auto" w:fill="f1f5f9"/>
          </w:tcPr>
          <w:p>
            <w:pPr>
              <w:spacing w:after="0"/>
            </w:pPr>
            <w:r>
              <w:rPr>
                <w:sz w:val="18"/>
              </w:rPr>
              <w:t>See where work is piling up, with cumulative flow and flow metrics</w:t>
            </w:r>
          </w:p>
        </w:tc>
        <w:tc>
          <w:tcPr>
            <w:tcW w:type="dxa" w:w="1788"/>
            <w:shd w:val="clear" w:color="auto" w:fill="f1f5f9"/>
          </w:tcPr>
          <w:p>
            <w:pPr>
              <w:spacing w:after="0"/>
            </w:pPr>
            <w:r>
              <w:rPr>
                <w:sz w:val="18"/>
                <w:highlight w:val="yellow"/>
              </w:rPr>
              <w:t>[YES / NO]</w:t>
            </w:r>
          </w:p>
        </w:tc>
      </w:tr>
      <w:tr>
        <w:trPr>
          <w:cantSplit/>
        </w:trPr>
        <w:tc>
          <w:tcPr>
            <w:tcW w:type="dxa" w:w="2130"/>
          </w:tcPr>
          <w:p>
            <w:pPr>
              <w:spacing w:after="0"/>
            </w:pPr>
            <w:r>
              <w:rPr>
                <w:sz w:val="18"/>
              </w:rPr>
              <w:t>GanttApp™</w:t>
            </w:r>
          </w:p>
        </w:tc>
        <w:tc>
          <w:tcPr>
            <w:tcW w:type="dxa" w:w="6450"/>
          </w:tcPr>
          <w:p>
            <w:pPr>
              <w:spacing w:after="0"/>
            </w:pPr>
            <w:r>
              <w:rPr>
                <w:sz w:val="18"/>
              </w:rPr>
              <w:t>Build and share a project timeline with uncertainty included</w:t>
            </w:r>
          </w:p>
        </w:tc>
        <w:tc>
          <w:tcPr>
            <w:tcW w:type="dxa" w:w="1788"/>
          </w:tcPr>
          <w:p>
            <w:pPr>
              <w:spacing w:after="0"/>
            </w:pPr>
            <w:r>
              <w:rPr>
                <w:sz w:val="18"/>
                <w:highlight w:val="yellow"/>
              </w:rPr>
              <w:t>[YES / NO]</w:t>
            </w:r>
          </w:p>
        </w:tc>
      </w:tr>
      <w:tr>
        <w:trPr>
          <w:cantSplit/>
        </w:trPr>
        <w:tc>
          <w:tcPr>
            <w:tcW w:type="dxa" w:w="2130"/>
            <w:shd w:val="clear" w:color="auto" w:fill="f1f5f9"/>
          </w:tcPr>
          <w:p>
            <w:pPr>
              <w:spacing w:after="0"/>
            </w:pPr>
            <w:r>
              <w:rPr>
                <w:sz w:val="18"/>
              </w:rPr>
              <w:t>MyScrumBudget™</w:t>
            </w:r>
          </w:p>
        </w:tc>
        <w:tc>
          <w:tcPr>
            <w:tcW w:type="dxa" w:w="6450"/>
            <w:shd w:val="clear" w:color="auto" w:fill="f1f5f9"/>
          </w:tcPr>
          <w:p>
            <w:pPr>
              <w:spacing w:after="0"/>
            </w:pPr>
            <w:r>
              <w:rPr>
                <w:sz w:val="18"/>
              </w:rPr>
              <w:t>Plan and reforecast a project or team budget (estimate to complete, estimate at completion, burn rate)</w:t>
            </w:r>
          </w:p>
        </w:tc>
        <w:tc>
          <w:tcPr>
            <w:tcW w:type="dxa" w:w="1788"/>
            <w:shd w:val="clear" w:color="auto" w:fill="f1f5f9"/>
          </w:tcPr>
          <w:p>
            <w:pPr>
              <w:spacing w:after="0"/>
            </w:pPr>
            <w:r>
              <w:rPr>
                <w:sz w:val="18"/>
                <w:highlight w:val="yellow"/>
              </w:rPr>
              <w:t>[YES / NO]</w:t>
            </w:r>
          </w:p>
        </w:tc>
      </w:tr>
    </w:tbl>
    <w:p>
      <w:pPr>
        <w:spacing w:after="40"/>
      </w:pPr>
    </w:p>
    <w:p>
      <w:r>
        <w:rPr/>
        <w:t>SPERT</w:t>
      </w:r>
      <w:r>
        <w:rPr>
          <w:vertAlign w:val="superscript"/>
        </w:rPr>
        <w:t>®</w:t>
      </w:r>
      <w:r>
        <w:rPr/>
        <w:t xml:space="preserve"> Scheduler and SPERT</w:t>
      </w:r>
      <w:r>
        <w:rPr>
          <w:vertAlign w:val="superscript"/>
        </w:rPr>
        <w:t>®</w:t>
      </w:r>
      <w:r>
        <w:rPr/>
        <w:t xml:space="preserve"> Forecaster use the Statistical PERT</w:t>
      </w:r>
      <w:r>
        <w:rPr>
          <w:vertAlign w:val="superscript"/>
        </w:rPr>
        <w:t>®</w:t>
      </w:r>
      <w:r>
        <w:rPr/>
        <w:t xml:space="preserve"> estimation technique; the other apps do not depend on it. Descriptions are from </w:t>
      </w:r>
      <w:hyperlink r:id="rId13">
        <w:r>
          <w:rPr>
            <w:color w:val="1d4ed8"/>
            <w:u w:val="single"/>
          </w:rPr>
          <w:t xml:space="preserve">spertsuite.com</w:t>
        </w:r>
      </w:hyperlink>
      <w:r>
        <w:rPr/>
        <w:t xml:space="preserve"> and each app's documentation.</w:t>
      </w:r>
    </w:p>
    <w:p>
      <w:pPr>
        <w:pStyle w:val="Heading2"/>
      </w:pPr>
      <w:r>
        <w:rPr/>
        <w:t>4. How it fits with the tools we already use</w:t>
      </w:r>
    </w:p>
    <w:p>
      <w:r>
        <w:rPr/>
        <w:t xml:space="preserve">The middle column is for </w:t>
      </w:r>
      <w:r>
        <w:rPr>
          <w:highlight w:val="yellow"/>
        </w:rPr>
        <w:t>[EXISTING TOOL]</w:t>
      </w:r>
      <w:r>
        <w:rPr/>
        <w:t>; fill it in honestly.</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4279"/>
        <w:gridCol w:w="1682"/>
        <w:gridCol w:w="4407"/>
      </w:tblGrid>
      <w:tr>
        <w:trPr>
          <w:cantSplit/>
          <w:tblHeader w:val="true"/>
        </w:trPr>
        <w:tc>
          <w:tcPr>
            <w:tcW w:type="dxa" w:w="4279"/>
            <w:shd w:val="clear" w:color="auto" w:fill="1d4ed8"/>
          </w:tcPr>
          <w:p>
            <w:pPr>
              <w:spacing w:after="0"/>
            </w:pPr>
            <w:r>
              <w:rPr>
                <w:b/>
                <w:color w:val="FFFFFF"/>
                <w:sz w:val="18"/>
              </w:rPr>
              <w:t>Capability</w:t>
            </w:r>
          </w:p>
        </w:tc>
        <w:tc>
          <w:tcPr>
            <w:tcW w:type="dxa" w:w="1682"/>
            <w:shd w:val="clear" w:color="auto" w:fill="1d4ed8"/>
          </w:tcPr>
          <w:p>
            <w:pPr>
              <w:spacing w:after="0"/>
            </w:pPr>
            <w:r>
              <w:rPr>
                <w:b/>
                <w:color w:val="FFFFFF"/>
                <w:sz w:val="18"/>
              </w:rPr>
              <w:t>Current tool</w:t>
            </w:r>
          </w:p>
        </w:tc>
        <w:tc>
          <w:tcPr>
            <w:tcW w:type="dxa" w:w="4407"/>
            <w:shd w:val="clear" w:color="auto" w:fill="1d4ed8"/>
          </w:tcPr>
          <w:p>
            <w:pPr>
              <w:spacing w:after="0"/>
            </w:pPr>
            <w:r>
              <w:rPr>
                <w:b/>
                <w:color w:val="FFFFFF"/>
                <w:sz w:val="18"/>
              </w:rPr>
              <w:t>SPERT</w:t>
            </w:r>
            <w:r>
              <w:rPr>
                <w:b/>
                <w:color w:val="FFFFFF"/>
                <w:sz w:val="18"/>
                <w:vertAlign w:val="superscript"/>
              </w:rPr>
              <w:t>®</w:t>
            </w:r>
            <w:r>
              <w:rPr>
                <w:b/>
                <w:color w:val="FFFFFF"/>
                <w:sz w:val="18"/>
              </w:rPr>
              <w:t xml:space="preserve"> Suite</w:t>
            </w:r>
          </w:p>
        </w:tc>
      </w:tr>
      <w:tr>
        <w:trPr>
          <w:cantSplit/>
        </w:trPr>
        <w:tc>
          <w:tcPr>
            <w:tcW w:type="dxa" w:w="4279"/>
          </w:tcPr>
          <w:p>
            <w:pPr>
              <w:spacing w:after="0"/>
            </w:pPr>
            <w:r>
              <w:rPr>
                <w:sz w:val="18"/>
              </w:rPr>
              <w:t>Probabilistic forecasts of dates or sprint counts</w:t>
            </w:r>
          </w:p>
        </w:tc>
        <w:tc>
          <w:tcPr>
            <w:tcW w:type="dxa" w:w="1682"/>
          </w:tcPr>
          <w:p>
            <w:pPr>
              <w:spacing w:after="0"/>
            </w:pPr>
            <w:r>
              <w:rPr>
                <w:sz w:val="18"/>
                <w:highlight w:val="yellow"/>
              </w:rPr>
              <w:t>[YES / NO / PARTLY]</w:t>
            </w:r>
          </w:p>
        </w:tc>
        <w:tc>
          <w:tcPr>
            <w:tcW w:type="dxa" w:w="4407"/>
          </w:tcPr>
          <w:p>
            <w:pPr>
              <w:spacing w:after="0"/>
            </w:pPr>
            <w:r>
              <w:rPr>
                <w:sz w:val="18"/>
              </w:rPr>
              <w:t>Yes, in SPERT</w:t>
            </w:r>
            <w:r>
              <w:rPr>
                <w:sz w:val="18"/>
                <w:vertAlign w:val="superscript"/>
              </w:rPr>
              <w:t>®</w:t>
            </w:r>
            <w:r>
              <w:rPr>
                <w:sz w:val="18"/>
              </w:rPr>
              <w:t xml:space="preserve"> Scheduler and SPERT</w:t>
            </w:r>
            <w:r>
              <w:rPr>
                <w:sz w:val="18"/>
                <w:vertAlign w:val="superscript"/>
              </w:rPr>
              <w:t>®</w:t>
            </w:r>
            <w:r>
              <w:rPr>
                <w:sz w:val="18"/>
              </w:rPr>
              <w:t xml:space="preserve"> Forecaster (Monte Carlo simulation)</w:t>
            </w:r>
          </w:p>
        </w:tc>
      </w:tr>
      <w:tr>
        <w:trPr>
          <w:cantSplit/>
        </w:trPr>
        <w:tc>
          <w:tcPr>
            <w:tcW w:type="dxa" w:w="4279"/>
            <w:shd w:val="clear" w:color="auto" w:fill="f1f5f9"/>
          </w:tcPr>
          <w:p>
            <w:pPr>
              <w:spacing w:after="0"/>
            </w:pPr>
            <w:r>
              <w:rPr>
                <w:sz w:val="18"/>
              </w:rPr>
              <w:t>Release scope mapping</w:t>
            </w:r>
          </w:p>
        </w:tc>
        <w:tc>
          <w:tcPr>
            <w:tcW w:type="dxa" w:w="1682"/>
            <w:shd w:val="clear" w:color="auto" w:fill="f1f5f9"/>
          </w:tcPr>
          <w:p>
            <w:pPr>
              <w:spacing w:after="0"/>
            </w:pPr>
            <w:r>
              <w:rPr>
                <w:sz w:val="18"/>
                <w:highlight w:val="yellow"/>
              </w:rPr>
              <w:t>[YES / NO / PARTLY]</w:t>
            </w:r>
          </w:p>
        </w:tc>
        <w:tc>
          <w:tcPr>
            <w:tcW w:type="dxa" w:w="4407"/>
            <w:shd w:val="clear" w:color="auto" w:fill="f1f5f9"/>
          </w:tcPr>
          <w:p>
            <w:pPr>
              <w:spacing w:after="0"/>
            </w:pPr>
            <w:r>
              <w:rPr>
                <w:sz w:val="18"/>
              </w:rPr>
              <w:t>Yes, in SPERT</w:t>
            </w:r>
            <w:r>
              <w:rPr>
                <w:sz w:val="18"/>
                <w:vertAlign w:val="superscript"/>
              </w:rPr>
              <w:t>®</w:t>
            </w:r>
            <w:r>
              <w:rPr>
                <w:sz w:val="18"/>
              </w:rPr>
              <w:t xml:space="preserve"> Story Map</w:t>
            </w:r>
          </w:p>
        </w:tc>
      </w:tr>
      <w:tr>
        <w:trPr>
          <w:cantSplit/>
        </w:trPr>
        <w:tc>
          <w:tcPr>
            <w:tcW w:type="dxa" w:w="4279"/>
          </w:tcPr>
          <w:p>
            <w:pPr>
              <w:spacing w:after="0"/>
            </w:pPr>
            <w:r>
              <w:rPr>
                <w:sz w:val="18"/>
              </w:rPr>
              <w:t>Cumulative flow and flow metrics</w:t>
            </w:r>
          </w:p>
        </w:tc>
        <w:tc>
          <w:tcPr>
            <w:tcW w:type="dxa" w:w="1682"/>
          </w:tcPr>
          <w:p>
            <w:pPr>
              <w:spacing w:after="0"/>
            </w:pPr>
            <w:r>
              <w:rPr>
                <w:sz w:val="18"/>
                <w:highlight w:val="yellow"/>
              </w:rPr>
              <w:t>[YES / NO / PARTLY]</w:t>
            </w:r>
          </w:p>
        </w:tc>
        <w:tc>
          <w:tcPr>
            <w:tcW w:type="dxa" w:w="4407"/>
          </w:tcPr>
          <w:p>
            <w:pPr>
              <w:spacing w:after="0"/>
            </w:pPr>
            <w:r>
              <w:rPr>
                <w:sz w:val="18"/>
              </w:rPr>
              <w:t>Yes, in SPERT</w:t>
            </w:r>
            <w:r>
              <w:rPr>
                <w:sz w:val="18"/>
                <w:vertAlign w:val="superscript"/>
              </w:rPr>
              <w:t>®</w:t>
            </w:r>
            <w:r>
              <w:rPr>
                <w:sz w:val="18"/>
              </w:rPr>
              <w:t xml:space="preserve"> CFD</w:t>
            </w:r>
          </w:p>
        </w:tc>
      </w:tr>
      <w:tr>
        <w:trPr>
          <w:cantSplit/>
        </w:trPr>
        <w:tc>
          <w:tcPr>
            <w:tcW w:type="dxa" w:w="4279"/>
            <w:shd w:val="clear" w:color="auto" w:fill="f1f5f9"/>
          </w:tcPr>
          <w:p>
            <w:pPr>
              <w:spacing w:after="0"/>
            </w:pPr>
            <w:r>
              <w:rPr>
                <w:sz w:val="18"/>
              </w:rPr>
              <w:t>Budget reforecasting</w:t>
            </w:r>
          </w:p>
        </w:tc>
        <w:tc>
          <w:tcPr>
            <w:tcW w:type="dxa" w:w="1682"/>
            <w:shd w:val="clear" w:color="auto" w:fill="f1f5f9"/>
          </w:tcPr>
          <w:p>
            <w:pPr>
              <w:spacing w:after="0"/>
            </w:pPr>
            <w:r>
              <w:rPr>
                <w:sz w:val="18"/>
                <w:highlight w:val="yellow"/>
              </w:rPr>
              <w:t>[YES / NO / PARTLY]</w:t>
            </w:r>
          </w:p>
        </w:tc>
        <w:tc>
          <w:tcPr>
            <w:tcW w:type="dxa" w:w="4407"/>
            <w:shd w:val="clear" w:color="auto" w:fill="f1f5f9"/>
          </w:tcPr>
          <w:p>
            <w:pPr>
              <w:spacing w:after="0"/>
            </w:pPr>
            <w:r>
              <w:rPr>
                <w:sz w:val="18"/>
              </w:rPr>
              <w:t>Yes, in MyScrumBudget™</w:t>
            </w:r>
          </w:p>
        </w:tc>
      </w:tr>
      <w:tr>
        <w:trPr>
          <w:cantSplit/>
        </w:trPr>
        <w:tc>
          <w:tcPr>
            <w:tcW w:type="dxa" w:w="4279"/>
          </w:tcPr>
          <w:p>
            <w:pPr>
              <w:spacing w:after="0"/>
            </w:pPr>
            <w:r>
              <w:rPr>
                <w:sz w:val="18"/>
              </w:rPr>
              <w:t>Installation</w:t>
            </w:r>
          </w:p>
        </w:tc>
        <w:tc>
          <w:tcPr>
            <w:tcW w:type="dxa" w:w="1682"/>
          </w:tcPr>
          <w:p>
            <w:pPr>
              <w:spacing w:after="0"/>
            </w:pPr>
            <w:r>
              <w:rPr>
                <w:sz w:val="18"/>
                <w:highlight w:val="yellow"/>
              </w:rPr>
              <w:t>[DETAILS]</w:t>
            </w:r>
          </w:p>
        </w:tc>
        <w:tc>
          <w:tcPr>
            <w:tcW w:type="dxa" w:w="4407"/>
          </w:tcPr>
          <w:p>
            <w:pPr>
              <w:spacing w:after="0"/>
            </w:pPr>
            <w:r>
              <w:rPr>
                <w:sz w:val="18"/>
              </w:rPr>
              <w:t>None: runs in a web browser</w:t>
            </w:r>
          </w:p>
        </w:tc>
      </w:tr>
      <w:tr>
        <w:trPr>
          <w:cantSplit/>
        </w:trPr>
        <w:tc>
          <w:tcPr>
            <w:tcW w:type="dxa" w:w="4279"/>
            <w:shd w:val="clear" w:color="auto" w:fill="f1f5f9"/>
          </w:tcPr>
          <w:p>
            <w:pPr>
              <w:spacing w:after="0"/>
            </w:pPr>
            <w:r>
              <w:rPr>
                <w:sz w:val="18"/>
              </w:rPr>
              <w:t>Accounts</w:t>
            </w:r>
          </w:p>
        </w:tc>
        <w:tc>
          <w:tcPr>
            <w:tcW w:type="dxa" w:w="1682"/>
            <w:shd w:val="clear" w:color="auto" w:fill="f1f5f9"/>
          </w:tcPr>
          <w:p>
            <w:pPr>
              <w:spacing w:after="0"/>
            </w:pPr>
            <w:r>
              <w:rPr>
                <w:sz w:val="18"/>
                <w:highlight w:val="yellow"/>
              </w:rPr>
              <w:t>[DETAILS]</w:t>
            </w:r>
          </w:p>
        </w:tc>
        <w:tc>
          <w:tcPr>
            <w:tcW w:type="dxa" w:w="4407"/>
            <w:shd w:val="clear" w:color="auto" w:fill="f1f5f9"/>
          </w:tcPr>
          <w:p>
            <w:pPr>
              <w:spacing w:after="0"/>
            </w:pPr>
            <w:r>
              <w:rPr>
                <w:sz w:val="18"/>
              </w:rPr>
              <w:t>None needed for local-only use; Google or Microsoft sign-in for cloud storage</w:t>
            </w:r>
          </w:p>
        </w:tc>
      </w:tr>
      <w:tr>
        <w:trPr>
          <w:cantSplit/>
        </w:trPr>
        <w:tc>
          <w:tcPr>
            <w:tcW w:type="dxa" w:w="4279"/>
          </w:tcPr>
          <w:p>
            <w:pPr>
              <w:spacing w:after="0"/>
            </w:pPr>
            <w:r>
              <w:rPr>
                <w:sz w:val="18"/>
              </w:rPr>
              <w:t>Integration with other systems</w:t>
            </w:r>
          </w:p>
        </w:tc>
        <w:tc>
          <w:tcPr>
            <w:tcW w:type="dxa" w:w="1682"/>
          </w:tcPr>
          <w:p>
            <w:pPr>
              <w:spacing w:after="0"/>
            </w:pPr>
            <w:r>
              <w:rPr>
                <w:sz w:val="18"/>
                <w:highlight w:val="yellow"/>
              </w:rPr>
              <w:t>[DETAILS]</w:t>
            </w:r>
          </w:p>
        </w:tc>
        <w:tc>
          <w:tcPr>
            <w:tcW w:type="dxa" w:w="4407"/>
          </w:tcPr>
          <w:p>
            <w:pPr>
              <w:spacing w:after="0"/>
            </w:pPr>
            <w:r>
              <w:rPr>
                <w:sz w:val="18"/>
              </w:rPr>
              <w:t>None: file export and import only</w:t>
            </w:r>
          </w:p>
        </w:tc>
      </w:tr>
      <w:tr>
        <w:trPr>
          <w:cantSplit/>
        </w:trPr>
        <w:tc>
          <w:tcPr>
            <w:tcW w:type="dxa" w:w="4279"/>
            <w:shd w:val="clear" w:color="auto" w:fill="f1f5f9"/>
          </w:tcPr>
          <w:p>
            <w:pPr>
              <w:spacing w:after="0"/>
            </w:pPr>
            <w:r>
              <w:rPr>
                <w:sz w:val="18"/>
              </w:rPr>
              <w:t>Enterprise administration (SSO enforcement, user provisioning, admin console, audit log)</w:t>
            </w:r>
          </w:p>
        </w:tc>
        <w:tc>
          <w:tcPr>
            <w:tcW w:type="dxa" w:w="1682"/>
            <w:shd w:val="clear" w:color="auto" w:fill="f1f5f9"/>
          </w:tcPr>
          <w:p>
            <w:pPr>
              <w:spacing w:after="0"/>
            </w:pPr>
            <w:r>
              <w:rPr>
                <w:sz w:val="18"/>
                <w:highlight w:val="yellow"/>
              </w:rPr>
              <w:t>[DETAILS]</w:t>
            </w:r>
          </w:p>
        </w:tc>
        <w:tc>
          <w:tcPr>
            <w:tcW w:type="dxa" w:w="4407"/>
            <w:shd w:val="clear" w:color="auto" w:fill="f1f5f9"/>
          </w:tcPr>
          <w:p>
            <w:pPr>
              <w:spacing w:after="0"/>
            </w:pPr>
            <w:r>
              <w:rPr>
                <w:sz w:val="18"/>
              </w:rPr>
              <w:t>Not provided</w:t>
            </w:r>
          </w:p>
        </w:tc>
      </w:tr>
      <w:tr>
        <w:trPr>
          <w:cantSplit/>
        </w:trPr>
        <w:tc>
          <w:tcPr>
            <w:tcW w:type="dxa" w:w="4279"/>
          </w:tcPr>
          <w:p>
            <w:pPr>
              <w:spacing w:after="0"/>
            </w:pPr>
            <w:r>
              <w:rPr>
                <w:sz w:val="18"/>
              </w:rPr>
              <w:t>Vendor support and service levels</w:t>
            </w:r>
          </w:p>
        </w:tc>
        <w:tc>
          <w:tcPr>
            <w:tcW w:type="dxa" w:w="1682"/>
          </w:tcPr>
          <w:p>
            <w:pPr>
              <w:spacing w:after="0"/>
            </w:pPr>
            <w:r>
              <w:rPr>
                <w:sz w:val="18"/>
                <w:highlight w:val="yellow"/>
              </w:rPr>
              <w:t>[DETAILS]</w:t>
            </w:r>
          </w:p>
        </w:tc>
        <w:tc>
          <w:tcPr>
            <w:tcW w:type="dxa" w:w="4407"/>
          </w:tcPr>
          <w:p>
            <w:pPr>
              <w:spacing w:after="0"/>
            </w:pPr>
            <w:r>
              <w:rPr>
                <w:sz w:val="18"/>
              </w:rPr>
              <w:t>None: a best-effort service (</w:t>
            </w:r>
            <w:hyperlink r:id="rId11">
              <w:r>
                <w:rPr>
                  <w:color w:val="1d4ed8"/>
                  <w:sz w:val="18"/>
                  <w:u w:val="single"/>
                </w:rPr>
                <w:t xml:space="preserve">ToS</w:t>
              </w:r>
            </w:hyperlink>
            <w:r>
              <w:rPr>
                <w:sz w:val="18"/>
              </w:rPr>
              <w:t xml:space="preserve"> §2) from a single operator</w:t>
            </w:r>
          </w:p>
        </w:tc>
      </w:tr>
      <w:tr>
        <w:trPr>
          <w:cantSplit/>
        </w:trPr>
        <w:tc>
          <w:tcPr>
            <w:tcW w:type="dxa" w:w="4279"/>
            <w:shd w:val="clear" w:color="auto" w:fill="f1f5f9"/>
          </w:tcPr>
          <w:p>
            <w:pPr>
              <w:spacing w:after="0"/>
            </w:pPr>
            <w:r>
              <w:rPr>
                <w:sz w:val="18"/>
              </w:rPr>
              <w:t>Licence cost</w:t>
            </w:r>
          </w:p>
        </w:tc>
        <w:tc>
          <w:tcPr>
            <w:tcW w:type="dxa" w:w="1682"/>
            <w:shd w:val="clear" w:color="auto" w:fill="f1f5f9"/>
          </w:tcPr>
          <w:p>
            <w:pPr>
              <w:spacing w:after="0"/>
            </w:pPr>
            <w:r>
              <w:rPr>
                <w:sz w:val="18"/>
                <w:highlight w:val="yellow"/>
              </w:rPr>
              <w:t>[COST]</w:t>
            </w:r>
          </w:p>
        </w:tc>
        <w:tc>
          <w:tcPr>
            <w:tcW w:type="dxa" w:w="4407"/>
            <w:shd w:val="clear" w:color="auto" w:fill="f1f5f9"/>
          </w:tcPr>
          <w:p>
            <w:pPr>
              <w:spacing w:after="0"/>
            </w:pPr>
            <w:r>
              <w:rPr>
                <w:sz w:val="18"/>
              </w:rPr>
              <w:t>None</w:t>
            </w:r>
          </w:p>
        </w:tc>
      </w:tr>
      <w:tr>
        <w:trPr>
          <w:cantSplit/>
        </w:trPr>
        <w:tc>
          <w:tcPr>
            <w:tcW w:type="dxa" w:w="4279"/>
          </w:tcPr>
          <w:p>
            <w:pPr>
              <w:spacing w:after="0"/>
            </w:pPr>
            <w:r>
              <w:rPr>
                <w:sz w:val="18"/>
              </w:rPr>
              <w:t>AI assistance</w:t>
            </w:r>
          </w:p>
        </w:tc>
        <w:tc>
          <w:tcPr>
            <w:tcW w:type="dxa" w:w="1682"/>
          </w:tcPr>
          <w:p>
            <w:pPr>
              <w:spacing w:after="0"/>
            </w:pPr>
            <w:r>
              <w:rPr>
                <w:sz w:val="18"/>
                <w:highlight w:val="yellow"/>
              </w:rPr>
              <w:t>[DETAILS]</w:t>
            </w:r>
          </w:p>
        </w:tc>
        <w:tc>
          <w:tcPr>
            <w:tcW w:type="dxa" w:w="4407"/>
          </w:tcPr>
          <w:p>
            <w:pPr>
              <w:spacing w:after="0"/>
            </w:pPr>
            <w:r>
              <w:rPr>
                <w:sz w:val="18"/>
              </w:rPr>
              <w:t>Optional: connect your own AI assistant in three apps (Connect AI)</w:t>
            </w:r>
          </w:p>
        </w:tc>
      </w:tr>
    </w:tbl>
    <w:p>
      <w:pPr>
        <w:spacing w:after="40"/>
      </w:pPr>
    </w:p>
    <w:p>
      <w:pPr>
        <w:pStyle w:val="Heading3"/>
      </w:pPr>
      <w:r>
        <w:rPr/>
        <w:t>Where our current tool is the better choice</w:t>
      </w:r>
    </w:p>
    <w:p>
      <w:r>
        <w:rPr/>
        <w:t xml:space="preserve">Say so plainly. </w:t>
      </w:r>
      <w:r>
        <w:rPr>
          <w:highlight w:val="yellow"/>
        </w:rPr>
        <w:t>[EXISTING TOOL]</w:t>
      </w:r>
      <w:r>
        <w:rPr/>
        <w:t xml:space="preserve"> remains the right home for </w:t>
      </w:r>
      <w:r>
        <w:rPr>
          <w:highlight w:val="yellow"/>
        </w:rPr>
        <w:t>[WHAT STAYS IN EXISTING TOOL]</w:t>
      </w:r>
      <w:r>
        <w:rPr/>
        <w:t xml:space="preserve"> (for example: the system of record, portfolio reporting, resource management, integrations with other systems, enterprise administration and audit, and vendor support). SPERT</w:t>
      </w:r>
      <w:r>
        <w:rPr>
          <w:vertAlign w:val="superscript"/>
        </w:rPr>
        <w:t>®</w:t>
      </w:r>
      <w:r>
        <w:rPr/>
        <w:t xml:space="preserve"> Suite is proposed only for </w:t>
      </w:r>
      <w:r>
        <w:rPr>
          <w:highlight w:val="yellow"/>
        </w:rPr>
        <w:t>[THE SPECIFIC QUESTION IN SECTION 1]</w:t>
      </w:r>
      <w:r>
        <w:rPr/>
        <w:t>.</w:t>
      </w:r>
    </w:p>
    <w:p>
      <w:pPr>
        <w:pStyle w:val="Heading2"/>
      </w:pPr>
      <w:r>
        <w:rPr/>
        <w:t>5. Costs</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4440"/>
        <w:gridCol w:w="5928"/>
      </w:tblGrid>
      <w:tr>
        <w:trPr>
          <w:cantSplit/>
          <w:tblHeader w:val="true"/>
        </w:trPr>
        <w:tc>
          <w:tcPr>
            <w:tcW w:type="dxa" w:w="4440"/>
            <w:shd w:val="clear" w:color="auto" w:fill="1d4ed8"/>
          </w:tcPr>
          <w:p>
            <w:pPr>
              <w:spacing w:after="0"/>
            </w:pPr>
            <w:r>
              <w:rPr>
                <w:b/>
                <w:color w:val="FFFFFF"/>
                <w:sz w:val="18"/>
              </w:rPr>
              <w:t>Item</w:t>
            </w:r>
          </w:p>
        </w:tc>
        <w:tc>
          <w:tcPr>
            <w:tcW w:type="dxa" w:w="5928"/>
            <w:shd w:val="clear" w:color="auto" w:fill="1d4ed8"/>
          </w:tcPr>
          <w:p>
            <w:pPr>
              <w:spacing w:after="0"/>
            </w:pPr>
            <w:r>
              <w:rPr>
                <w:b/>
                <w:color w:val="FFFFFF"/>
                <w:sz w:val="18"/>
              </w:rPr>
              <w:t>Estimate</w:t>
            </w:r>
          </w:p>
        </w:tc>
      </w:tr>
      <w:tr>
        <w:trPr>
          <w:cantSplit/>
        </w:trPr>
        <w:tc>
          <w:tcPr>
            <w:tcW w:type="dxa" w:w="4440"/>
          </w:tcPr>
          <w:p>
            <w:pPr>
              <w:spacing w:after="0"/>
            </w:pPr>
            <w:r>
              <w:rPr>
                <w:sz w:val="18"/>
              </w:rPr>
              <w:t>Licence</w:t>
            </w:r>
          </w:p>
        </w:tc>
        <w:tc>
          <w:tcPr>
            <w:tcW w:type="dxa" w:w="5928"/>
          </w:tcPr>
          <w:p>
            <w:pPr>
              <w:spacing w:after="0"/>
            </w:pPr>
            <w:r>
              <w:rPr>
                <w:sz w:val="18"/>
              </w:rPr>
              <w:t>None (</w:t>
            </w:r>
            <w:hyperlink r:id="rId11">
              <w:r>
                <w:rPr>
                  <w:color w:val="1d4ed8"/>
                  <w:sz w:val="18"/>
                  <w:u w:val="single"/>
                </w:rPr>
                <w:t xml:space="preserve">ToS</w:t>
              </w:r>
            </w:hyperlink>
            <w:r>
              <w:rPr>
                <w:sz w:val="18"/>
              </w:rPr>
              <w:t xml:space="preserve"> §2). No paid tier exists today</w:t>
            </w:r>
          </w:p>
        </w:tc>
      </w:tr>
      <w:tr>
        <w:trPr>
          <w:cantSplit/>
        </w:trPr>
        <w:tc>
          <w:tcPr>
            <w:tcW w:type="dxa" w:w="4440"/>
            <w:shd w:val="clear" w:color="auto" w:fill="f1f5f9"/>
          </w:tcPr>
          <w:p>
            <w:pPr>
              <w:spacing w:after="0"/>
            </w:pPr>
            <w:r>
              <w:rPr>
                <w:sz w:val="18"/>
              </w:rPr>
              <w:t>Review effort (security, privacy, architecture, legal)</w:t>
            </w:r>
          </w:p>
        </w:tc>
        <w:tc>
          <w:tcPr>
            <w:tcW w:type="dxa" w:w="5928"/>
            <w:shd w:val="clear" w:color="auto" w:fill="f1f5f9"/>
          </w:tcPr>
          <w:p>
            <w:pPr>
              <w:spacing w:after="0"/>
            </w:pPr>
            <w:r>
              <w:rPr>
                <w:sz w:val="18"/>
                <w:highlight w:val="yellow"/>
              </w:rPr>
              <w:t>[HOURS]</w:t>
            </w:r>
          </w:p>
        </w:tc>
      </w:tr>
      <w:tr>
        <w:trPr>
          <w:cantSplit/>
        </w:trPr>
        <w:tc>
          <w:tcPr>
            <w:tcW w:type="dxa" w:w="4440"/>
          </w:tcPr>
          <w:p>
            <w:pPr>
              <w:spacing w:after="0"/>
            </w:pPr>
            <w:r>
              <w:rPr>
                <w:sz w:val="18"/>
              </w:rPr>
              <w:t>Learning time for pilot users</w:t>
            </w:r>
          </w:p>
        </w:tc>
        <w:tc>
          <w:tcPr>
            <w:tcW w:type="dxa" w:w="5928"/>
          </w:tcPr>
          <w:p>
            <w:pPr>
              <w:spacing w:after="0"/>
            </w:pPr>
            <w:r>
              <w:rPr>
                <w:sz w:val="18"/>
                <w:highlight w:val="yellow"/>
              </w:rPr>
              <w:t>[HOURS PER PERSON]</w:t>
            </w:r>
            <w:r>
              <w:rPr>
                <w:sz w:val="18"/>
              </w:rPr>
              <w:t>. Each app has a Quick Reference Guide</w:t>
            </w:r>
          </w:p>
        </w:tc>
      </w:tr>
      <w:tr>
        <w:trPr>
          <w:cantSplit/>
        </w:trPr>
        <w:tc>
          <w:tcPr>
            <w:tcW w:type="dxa" w:w="4440"/>
            <w:shd w:val="clear" w:color="auto" w:fill="f1f5f9"/>
          </w:tcPr>
          <w:p>
            <w:pPr>
              <w:spacing w:after="0"/>
            </w:pPr>
            <w:r>
              <w:rPr>
                <w:sz w:val="18"/>
              </w:rPr>
              <w:t>Ongoing administration</w:t>
            </w:r>
          </w:p>
        </w:tc>
        <w:tc>
          <w:tcPr>
            <w:tcW w:type="dxa" w:w="5928"/>
            <w:shd w:val="clear" w:color="auto" w:fill="f1f5f9"/>
          </w:tcPr>
          <w:p>
            <w:pPr>
              <w:spacing w:after="0"/>
            </w:pPr>
            <w:r>
              <w:rPr>
                <w:sz w:val="18"/>
                <w:highlight w:val="yellow"/>
              </w:rPr>
              <w:t>[HOURS]</w:t>
            </w:r>
            <w:r>
              <w:rPr>
                <w:sz w:val="18"/>
              </w:rPr>
              <w:t xml:space="preserve">. There is nothing to install or patch on </w:t>
            </w:r>
            <w:r>
              <w:rPr>
                <w:sz w:val="18"/>
                <w:highlight w:val="yellow"/>
              </w:rPr>
              <w:t>[ORGANIZATION]</w:t>
            </w:r>
            <w:r>
              <w:rPr>
                <w:sz w:val="18"/>
              </w:rPr>
              <w:t>'s side</w:t>
            </w:r>
          </w:p>
        </w:tc>
      </w:tr>
      <w:tr>
        <w:trPr>
          <w:cantSplit/>
        </w:trPr>
        <w:tc>
          <w:tcPr>
            <w:tcW w:type="dxa" w:w="4440"/>
          </w:tcPr>
          <w:p>
            <w:pPr>
              <w:spacing w:after="0"/>
            </w:pPr>
            <w:r>
              <w:rPr>
                <w:sz w:val="18"/>
              </w:rPr>
              <w:t>Cost to stop</w:t>
            </w:r>
          </w:p>
        </w:tc>
        <w:tc>
          <w:tcPr>
            <w:tcW w:type="dxa" w:w="5928"/>
          </w:tcPr>
          <w:p>
            <w:pPr>
              <w:spacing w:after="0"/>
            </w:pPr>
            <w:r>
              <w:rPr>
                <w:sz w:val="18"/>
              </w:rPr>
              <w:t>Low: export projects, then stop using the apps</w:t>
            </w:r>
          </w:p>
        </w:tc>
      </w:tr>
    </w:tbl>
    <w:p>
      <w:pPr>
        <w:spacing w:after="40"/>
      </w:pPr>
    </w:p>
    <w:p>
      <w:pPr>
        <w:pStyle w:val="Heading2"/>
      </w:pPr>
      <w:r>
        <w:rPr/>
        <w:t>6. Success measures</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6888"/>
        <w:gridCol w:w="2187"/>
        <w:gridCol w:w="1293"/>
      </w:tblGrid>
      <w:tr>
        <w:trPr>
          <w:cantSplit/>
          <w:tblHeader w:val="true"/>
        </w:trPr>
        <w:tc>
          <w:tcPr>
            <w:tcW w:type="dxa" w:w="6888"/>
            <w:shd w:val="clear" w:color="auto" w:fill="1d4ed8"/>
          </w:tcPr>
          <w:p>
            <w:pPr>
              <w:spacing w:after="0"/>
            </w:pPr>
            <w:r>
              <w:rPr>
                <w:b/>
                <w:color w:val="FFFFFF"/>
                <w:sz w:val="18"/>
              </w:rPr>
              <w:t>Measure</w:t>
            </w:r>
          </w:p>
        </w:tc>
        <w:tc>
          <w:tcPr>
            <w:tcW w:type="dxa" w:w="2187"/>
            <w:shd w:val="clear" w:color="auto" w:fill="1d4ed8"/>
          </w:tcPr>
          <w:p>
            <w:pPr>
              <w:spacing w:after="0"/>
            </w:pPr>
            <w:r>
              <w:rPr>
                <w:b/>
                <w:color w:val="FFFFFF"/>
                <w:sz w:val="18"/>
              </w:rPr>
              <w:t>How we will check</w:t>
            </w:r>
          </w:p>
        </w:tc>
        <w:tc>
          <w:tcPr>
            <w:tcW w:type="dxa" w:w="1293"/>
            <w:shd w:val="clear" w:color="auto" w:fill="1d4ed8"/>
          </w:tcPr>
          <w:p>
            <w:pPr>
              <w:spacing w:after="0"/>
            </w:pPr>
            <w:r>
              <w:rPr>
                <w:b/>
                <w:color w:val="FFFFFF"/>
                <w:sz w:val="18"/>
              </w:rPr>
              <w:t>Target</w:t>
            </w:r>
          </w:p>
        </w:tc>
      </w:tr>
      <w:tr>
        <w:trPr>
          <w:cantSplit/>
        </w:trPr>
        <w:tc>
          <w:tcPr>
            <w:tcW w:type="dxa" w:w="6888"/>
          </w:tcPr>
          <w:p>
            <w:pPr>
              <w:spacing w:after="0"/>
            </w:pPr>
            <w:r>
              <w:rPr>
                <w:sz w:val="18"/>
                <w:highlight w:val="yellow"/>
              </w:rPr>
              <w:t>[MEASURE 1]</w:t>
            </w:r>
            <w:r>
              <w:rPr>
                <w:sz w:val="18"/>
              </w:rPr>
              <w:t xml:space="preserve"> (for example, forecast range shared with stakeholders for every milestone)</w:t>
            </w:r>
          </w:p>
        </w:tc>
        <w:tc>
          <w:tcPr>
            <w:tcW w:type="dxa" w:w="2187"/>
          </w:tcPr>
          <w:p>
            <w:pPr>
              <w:spacing w:after="0"/>
            </w:pPr>
            <w:r>
              <w:rPr>
                <w:sz w:val="18"/>
                <w:highlight w:val="yellow"/>
              </w:rPr>
              <w:t>[METHOD]</w:t>
            </w:r>
          </w:p>
        </w:tc>
        <w:tc>
          <w:tcPr>
            <w:tcW w:type="dxa" w:w="1293"/>
          </w:tcPr>
          <w:p>
            <w:pPr>
              <w:spacing w:after="0"/>
            </w:pPr>
            <w:r>
              <w:rPr>
                <w:sz w:val="18"/>
                <w:highlight w:val="yellow"/>
              </w:rPr>
              <w:t>[TARGET]</w:t>
            </w:r>
          </w:p>
        </w:tc>
      </w:tr>
      <w:tr>
        <w:trPr>
          <w:cantSplit/>
        </w:trPr>
        <w:tc>
          <w:tcPr>
            <w:tcW w:type="dxa" w:w="6888"/>
            <w:shd w:val="clear" w:color="auto" w:fill="f1f5f9"/>
          </w:tcPr>
          <w:p>
            <w:pPr>
              <w:spacing w:after="0"/>
            </w:pPr>
            <w:r>
              <w:rPr>
                <w:sz w:val="18"/>
                <w:highlight w:val="yellow"/>
              </w:rPr>
              <w:t>[MEASURE 2]</w:t>
            </w:r>
            <w:r>
              <w:rPr>
                <w:sz w:val="18"/>
              </w:rPr>
              <w:t xml:space="preserve"> (for example, time to produce a revised forecast after a change)</w:t>
            </w:r>
          </w:p>
        </w:tc>
        <w:tc>
          <w:tcPr>
            <w:tcW w:type="dxa" w:w="2187"/>
            <w:shd w:val="clear" w:color="auto" w:fill="f1f5f9"/>
          </w:tcPr>
          <w:p>
            <w:pPr>
              <w:spacing w:after="0"/>
            </w:pPr>
            <w:r>
              <w:rPr>
                <w:sz w:val="18"/>
                <w:highlight w:val="yellow"/>
              </w:rPr>
              <w:t>[METHOD]</w:t>
            </w:r>
          </w:p>
        </w:tc>
        <w:tc>
          <w:tcPr>
            <w:tcW w:type="dxa" w:w="1293"/>
            <w:shd w:val="clear" w:color="auto" w:fill="f1f5f9"/>
          </w:tcPr>
          <w:p>
            <w:pPr>
              <w:spacing w:after="0"/>
            </w:pPr>
            <w:r>
              <w:rPr>
                <w:sz w:val="18"/>
                <w:highlight w:val="yellow"/>
              </w:rPr>
              <w:t>[TARGET]</w:t>
            </w:r>
          </w:p>
        </w:tc>
      </w:tr>
      <w:tr>
        <w:trPr>
          <w:cantSplit/>
        </w:trPr>
        <w:tc>
          <w:tcPr>
            <w:tcW w:type="dxa" w:w="6888"/>
          </w:tcPr>
          <w:p>
            <w:pPr>
              <w:spacing w:after="0"/>
            </w:pPr>
            <w:r>
              <w:rPr>
                <w:sz w:val="18"/>
                <w:highlight w:val="yellow"/>
              </w:rPr>
              <w:t>[MEASURE 3]</w:t>
            </w:r>
            <w:r>
              <w:rPr>
                <w:sz w:val="18"/>
              </w:rPr>
              <w:t xml:space="preserve"> (for example, pilot users who would continue)</w:t>
            </w:r>
          </w:p>
        </w:tc>
        <w:tc>
          <w:tcPr>
            <w:tcW w:type="dxa" w:w="2187"/>
          </w:tcPr>
          <w:p>
            <w:pPr>
              <w:spacing w:after="0"/>
            </w:pPr>
            <w:r>
              <w:rPr>
                <w:sz w:val="18"/>
                <w:highlight w:val="yellow"/>
              </w:rPr>
              <w:t>[METHOD]</w:t>
            </w:r>
          </w:p>
        </w:tc>
        <w:tc>
          <w:tcPr>
            <w:tcW w:type="dxa" w:w="1293"/>
          </w:tcPr>
          <w:p>
            <w:pPr>
              <w:spacing w:after="0"/>
            </w:pPr>
            <w:r>
              <w:rPr>
                <w:sz w:val="18"/>
                <w:highlight w:val="yellow"/>
              </w:rPr>
              <w:t>[TARGET]</w:t>
            </w:r>
          </w:p>
        </w:tc>
      </w:tr>
    </w:tbl>
    <w:p>
      <w:pPr>
        <w:spacing w:after="40"/>
      </w:pPr>
    </w:p>
    <w:p>
      <w:pPr>
        <w:pStyle w:val="Heading2"/>
      </w:pPr>
      <w:r>
        <w:rPr/>
        <w:t>7. Risks and how we limit them</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5152"/>
        <w:gridCol w:w="5216"/>
      </w:tblGrid>
      <w:tr>
        <w:trPr>
          <w:cantSplit/>
          <w:tblHeader w:val="true"/>
        </w:trPr>
        <w:tc>
          <w:tcPr>
            <w:tcW w:type="dxa" w:w="5152"/>
            <w:shd w:val="clear" w:color="auto" w:fill="1d4ed8"/>
          </w:tcPr>
          <w:p>
            <w:pPr>
              <w:spacing w:after="0"/>
            </w:pPr>
            <w:r>
              <w:rPr>
                <w:b/>
                <w:color w:val="FFFFFF"/>
                <w:sz w:val="18"/>
              </w:rPr>
              <w:t>Risk</w:t>
            </w:r>
          </w:p>
        </w:tc>
        <w:tc>
          <w:tcPr>
            <w:tcW w:type="dxa" w:w="5216"/>
            <w:shd w:val="clear" w:color="auto" w:fill="1d4ed8"/>
          </w:tcPr>
          <w:p>
            <w:pPr>
              <w:spacing w:after="0"/>
            </w:pPr>
            <w:r>
              <w:rPr>
                <w:b/>
                <w:color w:val="FFFFFF"/>
                <w:sz w:val="18"/>
              </w:rPr>
              <w:t>How we limit it</w:t>
            </w:r>
          </w:p>
        </w:tc>
      </w:tr>
      <w:tr>
        <w:trPr>
          <w:cantSplit/>
        </w:trPr>
        <w:tc>
          <w:tcPr>
            <w:tcW w:type="dxa" w:w="5152"/>
          </w:tcPr>
          <w:p>
            <w:pPr>
              <w:spacing w:after="0"/>
            </w:pPr>
            <w:r>
              <w:rPr>
                <w:sz w:val="18"/>
              </w:rPr>
              <w:t>The service changes or stops: the Terms allow it to be "modified, suspended, or discontinued at any time without notice" (</w:t>
            </w:r>
            <w:hyperlink r:id="rId11">
              <w:r>
                <w:rPr>
                  <w:color w:val="1d4ed8"/>
                  <w:sz w:val="18"/>
                  <w:u w:val="single"/>
                </w:rPr>
                <w:t xml:space="preserve">ToS</w:t>
              </w:r>
            </w:hyperlink>
            <w:r>
              <w:rPr>
                <w:sz w:val="18"/>
              </w:rPr>
              <w:t xml:space="preserve"> §2)</w:t>
            </w:r>
          </w:p>
        </w:tc>
        <w:tc>
          <w:tcPr>
            <w:tcW w:type="dxa" w:w="5216"/>
          </w:tcPr>
          <w:p>
            <w:pPr>
              <w:spacing w:after="0"/>
            </w:pPr>
            <w:r>
              <w:rPr>
                <w:sz w:val="18"/>
              </w:rPr>
              <w:t xml:space="preserve">Non-critical use only; regular exports; </w:t>
            </w:r>
            <w:r>
              <w:rPr>
                <w:sz w:val="18"/>
                <w:highlight w:val="yellow"/>
              </w:rPr>
              <w:t>[EXISTING TOOL]</w:t>
            </w:r>
            <w:r>
              <w:rPr>
                <w:sz w:val="18"/>
              </w:rPr>
              <w:t xml:space="preserve"> stays the system of record</w:t>
            </w:r>
          </w:p>
        </w:tc>
      </w:tr>
      <w:tr>
        <w:trPr>
          <w:cantSplit/>
        </w:trPr>
        <w:tc>
          <w:tcPr>
            <w:tcW w:type="dxa" w:w="5152"/>
            <w:shd w:val="clear" w:color="auto" w:fill="f1f5f9"/>
          </w:tcPr>
          <w:p>
            <w:pPr>
              <w:spacing w:after="0"/>
            </w:pPr>
            <w:r>
              <w:rPr>
                <w:sz w:val="18"/>
              </w:rPr>
              <w:t>Data loss in local-only use: local projects live in the browser profile and are lost if site data is cleared</w:t>
            </w:r>
          </w:p>
        </w:tc>
        <w:tc>
          <w:tcPr>
            <w:tcW w:type="dxa" w:w="5216"/>
            <w:shd w:val="clear" w:color="auto" w:fill="f1f5f9"/>
          </w:tcPr>
          <w:p>
            <w:pPr>
              <w:spacing w:after="0"/>
            </w:pPr>
            <w:r>
              <w:rPr>
                <w:sz w:val="18"/>
              </w:rPr>
              <w:t xml:space="preserve">Export </w:t>
            </w:r>
            <w:r>
              <w:rPr>
                <w:sz w:val="18"/>
                <w:highlight w:val="yellow"/>
              </w:rPr>
              <w:t>[EXPORT FREQUENCY]</w:t>
            </w:r>
            <w:r>
              <w:rPr>
                <w:sz w:val="18"/>
              </w:rPr>
              <w:t>; one browser profile per person</w:t>
            </w:r>
          </w:p>
        </w:tc>
      </w:tr>
      <w:tr>
        <w:trPr>
          <w:cantSplit/>
        </w:trPr>
        <w:tc>
          <w:tcPr>
            <w:tcW w:type="dxa" w:w="5152"/>
          </w:tcPr>
          <w:p>
            <w:pPr>
              <w:spacing w:after="0"/>
            </w:pPr>
            <w:r>
              <w:rPr>
                <w:sz w:val="18"/>
              </w:rPr>
              <w:t>Sensitive data entered by mistake</w:t>
            </w:r>
          </w:p>
        </w:tc>
        <w:tc>
          <w:tcPr>
            <w:tcW w:type="dxa" w:w="5216"/>
          </w:tcPr>
          <w:p>
            <w:pPr>
              <w:spacing w:after="0"/>
            </w:pPr>
            <w:r>
              <w:rPr>
                <w:sz w:val="18"/>
              </w:rPr>
              <w:t xml:space="preserve">Data limited to </w:t>
            </w:r>
            <w:r>
              <w:rPr>
                <w:sz w:val="18"/>
                <w:highlight w:val="yellow"/>
              </w:rPr>
              <w:t>[DATA CLASSIFICATION]</w:t>
            </w:r>
            <w:r>
              <w:rPr>
                <w:sz w:val="18"/>
              </w:rPr>
              <w:t xml:space="preserve">; the </w:t>
            </w:r>
            <w:hyperlink r:id="rId11">
              <w:r>
                <w:rPr>
                  <w:color w:val="1d4ed8"/>
                  <w:sz w:val="18"/>
                  <w:u w:val="single"/>
                </w:rPr>
                <w:t xml:space="preserve">Terms of Service</w:t>
              </w:r>
            </w:hyperlink>
            <w:r>
              <w:rPr>
                <w:sz w:val="18"/>
              </w:rPr>
              <w:t xml:space="preserve"> (§5.3) already prohibit regulated data</w:t>
            </w:r>
          </w:p>
        </w:tc>
      </w:tr>
      <w:tr>
        <w:trPr>
          <w:cantSplit/>
        </w:trPr>
        <w:tc>
          <w:tcPr>
            <w:tcW w:type="dxa" w:w="5152"/>
            <w:shd w:val="clear" w:color="auto" w:fill="f1f5f9"/>
          </w:tcPr>
          <w:p>
            <w:pPr>
              <w:spacing w:after="0"/>
            </w:pPr>
            <w:r>
              <w:rPr>
                <w:sz w:val="18"/>
              </w:rPr>
              <w:t>Project data sent to an AI provider</w:t>
            </w:r>
          </w:p>
        </w:tc>
        <w:tc>
          <w:tcPr>
            <w:tcW w:type="dxa" w:w="5216"/>
            <w:shd w:val="clear" w:color="auto" w:fill="f1f5f9"/>
          </w:tcPr>
          <w:p>
            <w:pPr>
              <w:spacing w:after="0"/>
            </w:pPr>
            <w:r>
              <w:rPr>
                <w:sz w:val="18"/>
              </w:rPr>
              <w:t xml:space="preserve">Connect AI not requested, or Write Mode only, or Read Mode only with </w:t>
            </w:r>
            <w:r>
              <w:rPr>
                <w:sz w:val="18"/>
                <w:highlight w:val="yellow"/>
              </w:rPr>
              <w:t>[AI PLATFORM]</w:t>
            </w:r>
          </w:p>
        </w:tc>
      </w:tr>
      <w:tr>
        <w:trPr>
          <w:cantSplit/>
        </w:trPr>
        <w:tc>
          <w:tcPr>
            <w:tcW w:type="dxa" w:w="5152"/>
          </w:tcPr>
          <w:p>
            <w:pPr>
              <w:spacing w:after="0"/>
            </w:pPr>
            <w:r>
              <w:rPr>
                <w:sz w:val="18"/>
              </w:rPr>
              <w:t>No independent security audit</w:t>
            </w:r>
          </w:p>
        </w:tc>
        <w:tc>
          <w:tcPr>
            <w:tcW w:type="dxa" w:w="5216"/>
          </w:tcPr>
          <w:p>
            <w:pPr>
              <w:spacing w:after="0"/>
            </w:pPr>
            <w:r>
              <w:rPr>
                <w:sz w:val="18"/>
              </w:rPr>
              <w:t>Tier 1 only, where no project data leaves the device; the source code is public for review</w:t>
            </w:r>
          </w:p>
        </w:tc>
      </w:tr>
    </w:tbl>
    <w:p>
      <w:pPr>
        <w:spacing w:after="40"/>
      </w:pPr>
    </w:p>
    <w:p>
      <w:pPr>
        <w:pStyle w:val="Heading2"/>
      </w:pPr>
      <w:r>
        <w:rPr/>
        <w:t>8. Exit plan</w:t>
      </w:r>
    </w:p>
    <w:p>
      <w:r>
        <w:rPr/>
        <w:t>If the pilot stops: users export any projects worth keeping, delete them in the app or clear the browser's site data, and anyone who used cloud storage asks the operator to delete their account, which is done "within a commercially reasonable period, not to exceed thirty (30) days under normal circumstances" (</w:t>
      </w:r>
      <w:hyperlink r:id="rId12">
        <w:r>
          <w:rPr>
            <w:color w:val="1d4ed8"/>
            <w:u w:val="single"/>
          </w:rPr>
          <w:t xml:space="preserve">Privacy Policy</w:t>
        </w:r>
      </w:hyperlink>
      <w:r>
        <w:rPr/>
        <w:t xml:space="preserve"> §6).</w:t>
      </w:r>
    </w:p>
    <w:p>
      <w:pPr>
        <w:pStyle w:val="Heading2"/>
      </w:pPr>
      <w:r>
        <w:rPr/>
        <w:t>9. Decision requested</w:t>
      </w:r>
    </w:p>
    <w:p>
      <w:r>
        <w:rPr/>
        <w:t xml:space="preserve">Approve a </w:t>
      </w:r>
      <w:r>
        <w:rPr>
          <w:highlight w:val="yellow"/>
        </w:rPr>
        <w:t>[PILOT LENGTH]</w:t>
      </w:r>
      <w:r>
        <w:rPr/>
        <w:t xml:space="preserve"> pilot of </w:t>
      </w:r>
      <w:r>
        <w:rPr>
          <w:highlight w:val="yellow"/>
        </w:rPr>
        <w:t>[APPS REQUESTED]</w:t>
      </w:r>
      <w:r>
        <w:rPr/>
        <w:t xml:space="preserve">, tier </w:t>
      </w:r>
      <w:r>
        <w:rPr>
          <w:highlight w:val="yellow"/>
        </w:rPr>
        <w:t>[TIERS REQUESTED]</w:t>
      </w:r>
      <w:r>
        <w:rPr/>
        <w:t xml:space="preserve">, for </w:t>
      </w:r>
      <w:r>
        <w:rPr>
          <w:highlight w:val="yellow"/>
        </w:rPr>
        <w:t>[NUMBER]</w:t>
      </w:r>
      <w:r>
        <w:rPr/>
        <w:t xml:space="preserve"> users, with a review on </w:t>
      </w:r>
      <w:r>
        <w:rPr>
          <w:highlight w:val="yellow"/>
        </w:rPr>
        <w:t>[REVIEW DATE]</w:t>
      </w:r>
      <w:r>
        <w:rPr/>
        <w:t>.</w:t>
      </w:r>
    </w:p>
    <w:p>
      <w:pPr>
        <w:pStyle w:val="Heading2"/>
      </w:pPr>
      <w:r>
        <w:rPr/>
        <w:t>Reviewer notes</w:t>
      </w:r>
    </w:p>
    <w:p>
      <w:pPr>
        <w:numPr>
          <w:ilvl w:val="0"/>
          <w:numId w:val="9000"/>
        </w:numPr>
        <w:spacing w:after="40"/>
      </w:pPr>
      <w:r>
        <w:rPr>
          <w:b/>
        </w:rPr>
        <w:t>"Free means unsupported."</w:t>
      </w:r>
      <w:r>
        <w:rPr/>
        <w:t xml:space="preserve"> Correct: there is no support contract or SLA. The pilot is designed around that: non-critical use, regular exports and a planned exit.</w:t>
      </w:r>
    </w:p>
    <w:p>
      <w:pPr>
        <w:numPr>
          <w:ilvl w:val="0"/>
          <w:numId w:val="9000"/>
        </w:numPr>
        <w:spacing w:after="40"/>
      </w:pPr>
      <w:r>
        <w:rPr>
          <w:b/>
        </w:rPr>
        <w:t>"Open source with no vendor review."</w:t>
      </w:r>
      <w:r>
        <w:rPr/>
        <w:t xml:space="preserve"> No independent audit exists. The code is public, and tier 1 keeps project data on the user's device.</w:t>
      </w:r>
    </w:p>
    <w:p>
      <w:pPr>
        <w:numPr>
          <w:ilvl w:val="0"/>
          <w:numId w:val="9000"/>
        </w:numPr>
        <w:spacing w:after="40"/>
      </w:pPr>
      <w:r>
        <w:rPr>
          <w:b/>
        </w:rPr>
        <w:t>"Does data leave our environment?"</w:t>
      </w:r>
      <w:r>
        <w:rPr/>
        <w:t xml:space="preserve"> Not in tier 1, apart from ordinary page requests (and a country code if SPERT</w:t>
      </w:r>
      <w:r>
        <w:rPr>
          <w:vertAlign w:val="superscript"/>
        </w:rPr>
        <w:t>®</w:t>
      </w:r>
      <w:r>
        <w:rPr/>
        <w:t xml:space="preserve"> Scheduler's holiday lookup is used). See the </w:t>
      </w:r>
      <w:r>
        <w:rPr>
          <w:i/>
        </w:rPr>
        <w:t>Information Security Profile</w:t>
      </w:r>
      <w:r>
        <w:rPr/>
        <w:t xml:space="preserve"> for tiers 2 and 3.</w:t>
      </w:r>
    </w:p>
    <w:p>
      <w:pPr>
        <w:numPr>
          <w:ilvl w:val="0"/>
          <w:numId w:val="9000"/>
        </w:numPr>
        <w:spacing w:after="40"/>
      </w:pPr>
      <w:r>
        <w:rPr>
          <w:b/>
        </w:rPr>
        <w:t>"Audit and logging?"</w:t>
      </w:r>
      <w:r>
        <w:rPr/>
        <w:t xml:space="preserve"> None for users or administrators. That limits the data classification, not the usefulness of a planning pilot.</w:t>
      </w:r>
    </w:p>
    <w:p>
      <w:pPr>
        <w:numPr>
          <w:ilvl w:val="0"/>
          <w:numId w:val="9000"/>
        </w:numPr>
        <w:spacing w:after="120"/>
      </w:pPr>
      <w:r>
        <w:rPr>
          <w:b/>
        </w:rPr>
        <w:t xml:space="preserve">"Why not just use </w:t>
      </w:r>
      <w:r>
        <w:rPr>
          <w:b/>
          <w:highlight w:val="yellow"/>
        </w:rPr>
        <w:t>[EXISTING TOOL]</w:t>
      </w:r>
      <w:r>
        <w:rPr>
          <w:b/>
        </w:rPr>
        <w:t>?"</w:t>
      </w:r>
      <w:r>
        <w:rPr/>
        <w:t xml:space="preserve"> We will, for everything it does well. This pilot tests one question it does not answer.</w:t>
      </w:r>
    </w:p>
    <w:sectPr w:rsidR="00FC693F" w:rsidRPr="0006063C" w:rsidSect="00034616">
      <w:footerReference w:type="default" r:id="rId14"/>
      <w:pgSz w:w="12240" w:h="15840"/>
      <w:pgMar w:top="1008" w:right="936" w:bottom="1008"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75569"/>
        <w:sz w:val="16"/>
      </w:rPr>
      <w:t>SPERT</w:t>
    </w:r>
    <w:r>
      <w:rPr>
        <w:color w:val="475569"/>
        <w:sz w:val="16"/>
        <w:vertAlign w:val="superscript"/>
      </w:rPr>
      <w:t>®</w:t>
    </w:r>
    <w:r>
      <w:rPr>
        <w:color w:val="475569"/>
        <w:sz w:val="16"/>
      </w:rPr>
      <w:t xml:space="preserve"> Suite Approval Kit v1.0.0 · Value Brief · Page </w:t>
    </w:r>
    <w:r>
      <w:rPr>
        <w:color w:val="475569"/>
        <w:sz w:val="16"/>
      </w:rPr>
      <w:fldChar w:fldCharType="begin"/>
    </w:r>
    <w:r>
      <w:rPr>
        <w:color w:val="475569"/>
        <w:sz w:val="16"/>
      </w:rPr>
      <w:instrText xml:space="preserve">PAGE</w:instrText>
    </w:r>
    <w:r>
      <w:rPr>
        <w:color w:val="475569"/>
        <w:sz w:val="16"/>
      </w:rPr>
      <w:fldChar w:fldCharType="end"/>
    </w:r>
    <w:r>
      <w:rPr>
        <w:color w:val="475569"/>
        <w:sz w:val="16"/>
      </w:rPr>
      <w:t xml:space="preserve"> · </w:t>
    </w:r>
    <w:hyperlink r:id="rId1">
      <w:r>
        <w:rPr>
          <w:color w:val="1d4ed8"/>
          <w:sz w:val="16"/>
          <w:u w:val="single"/>
        </w:rPr>
        <w:t xml:space="preserve">spertsuite.com/approval-kit</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00">
    <w:multiLevelType w:val="hybridMultilevel"/>
    <w:lvl w:ilvl="0">
      <w:start w:val="1"/>
      <w:numFmt w:val="bullet"/>
      <w:lvlText w:val="—"/>
      <w:lvlJc w:val="left"/>
      <w:pPr>
        <w:ind w:left="360" w:hanging="300"/>
      </w:pPr>
      <w:rPr>
        <w:rFonts w:ascii="Arial" w:hAnsi="Arial" w:cs="Arial"/>
      </w:rPr>
    </w:lvl>
    <w:lvl w:ilvl="1">
      <w:start w:val="1"/>
      <w:numFmt w:val="bullet"/>
      <w:lvlText w:val="—"/>
      <w:lvlJc w:val="left"/>
      <w:pPr>
        <w:ind w:left="720" w:hanging="300"/>
      </w:pPr>
      <w:rPr>
        <w:rFonts w:ascii="Arial" w:hAnsi="Arial" w:cs="Arial"/>
      </w:rPr>
    </w:lvl>
    <w:lvl w:ilvl="2">
      <w:start w:val="1"/>
      <w:numFmt w:val="bullet"/>
      <w:lvlText w:val="—"/>
      <w:lvlJc w:val="left"/>
      <w:pPr>
        <w:ind w:left="1080" w:hanging="300"/>
      </w:pPr>
      <w:rPr>
        <w:rFonts w:ascii="Arial" w:hAnsi="Arial" w:cs="Arial"/>
      </w:rPr>
    </w:lvl>
  </w:abstractNum>
  <w:abstractNum w:abstractNumId="9001">
    <w:multiLevelType w:val="hybridMultilevel"/>
    <w:lvl w:ilvl="0">
      <w:start w:val="1"/>
      <w:numFmt w:val="decimal"/>
      <w:lvlText w:val="%1."/>
      <w:lvlJc w:val="left"/>
      <w:pPr>
        <w:ind w:left="360" w:hanging="300"/>
      </w:pPr>
    </w:lvl>
    <w:lvl w:ilvl="1">
      <w:start w:val="1"/>
      <w:numFmt w:val="decimal"/>
      <w:lvlText w:val="%2."/>
      <w:lvlJc w:val="left"/>
      <w:pPr>
        <w:ind w:left="720" w:hanging="300"/>
      </w:pPr>
    </w:lvl>
    <w:lvl w:ilvl="2">
      <w:start w:val="1"/>
      <w:numFmt w:val="decimal"/>
      <w:lvlText w:val="%3."/>
      <w:lvlJc w:val="left"/>
      <w:pPr>
        <w:ind w:left="1080" w:hanging="30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00">
    <w:abstractNumId w:val="9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olor w:val="1E29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w:b/>
      <w:bCs/>
      <w:i w:val="0"/>
      <w:color w:val="1D4ED8"/>
      <w:sz w:val="26"/>
      <w:szCs w:val="28"/>
    </w:rPr>
  </w:style>
  <w:style w:type="paragraph" w:styleId="Heading2">
    <w:name w:val="heading 2"/>
    <w:basedOn w:val="Normal"/>
    <w:next w:val="Normal"/>
    <w:link w:val="Heading2Char"/>
    <w:uiPriority w:val="9"/>
    <w:unhideWhenUsed/>
    <w:qFormat/>
    <w:rsid w:val="00FC693F"/>
    <w:pPr>
      <w:keepNext/>
      <w:keepLines/>
      <w:shd w:val="clear" w:color="auto" w:fill="1d4ed8"/>
      <w:spacing w:before="280" w:after="120"/>
      <w:jc w:val="center"/>
      <w:outlineLvl w:val="1"/>
    </w:pPr>
    <w:rPr>
      <w:rFonts w:ascii="Arial" w:hAnsi="Arial" w:eastAsia="Arial"/>
      <w:b/>
      <w:bCs/>
      <w:i w:val="0"/>
      <w:caps/>
      <w:color w:val="FFFFFF"/>
      <w:sz w:val="20"/>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Arial" w:hAnsi="Arial" w:eastAsia="Arial"/>
      <w:b/>
      <w:bCs/>
      <w:i w:val="0"/>
      <w:color w:val="1D4ED8"/>
      <w:sz w:val="22"/>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Arial" w:hAnsi="Arial" w:eastAsia="Arial"/>
      <w:b/>
      <w:bCs/>
      <w:i w:val="0"/>
      <w:iCs/>
      <w:color w:val="1E293B"/>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Arial" w:hAnsi="Arial" w:eastAsia="Arial"/>
      <w:b/>
      <w:i w:val="0"/>
      <w:color w:val="1D4ED8"/>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spertsuite.com/approval-kit" TargetMode="External"/><Relationship Id="rId11" Type="http://schemas.openxmlformats.org/officeDocument/2006/relationships/hyperlink" Target="https://spertsuite.com/TOS.pdf" TargetMode="External"/><Relationship Id="rId12" Type="http://schemas.openxmlformats.org/officeDocument/2006/relationships/hyperlink" Target="https://spertsuite.com/PRIVACY.pdf" TargetMode="External"/><Relationship Id="rId13" Type="http://schemas.openxmlformats.org/officeDocument/2006/relationships/hyperlink" Target="https://spertsuite.co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pertsuite.com/approva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Value Brief: piloting SPERT® Suite at [ORGANIZATION]</dc:title>
  <dc:subject>Fill-in template: the problem, the pilot, how it fits with existing tools, cost, risks and exit</dc:subject>
  <dc:creator>William W. Davis, MSPM, PMP</dc:creator>
  <cp:keywords>SPERT Suite; Approval Kit</cp:keywords>
  <dc:description>SPERT® Suite Approval Kit v1.0.0 (Release) · Content reviewed 2026-10-25 · Built 2026-10-26</dc:description>
  <cp:lastModifiedBy/>
  <cp:revision>1</cp:revision>
  <dcterms:created xsi:type="dcterms:W3CDTF">2013-12-23T23:15:00Z</dcterms:created>
  <dcterms:modified xsi:type="dcterms:W3CDTF">2013-12-23T23:15:00Z</dcterms:modified>
  <cp:category/>
  <cp:version>1.0.0</cp:version>
</cp:coreProperties>
</file>